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"/>
      </w:tblGrid>
      <w:tr>
        <w:trPr>
          <w:trHeight w:val="16838" w:hRule="exact"/>
        </w:trPr>
        <w:tc>
          <w:tcPr>
            <w:tcBorders>
              <w:top w:val="none"/>
              <w:left w:val="none"/>
              <w:bottom w:val="none"/>
              <w:right w:val="none"/>
            </w:tcBorders>
            <w:shd w:fill="FDF8F1" w:val="clear"/>
          </w:tcPr>
          <w:p>
            <w:pPr>
              <w:spacing w:before="3944"/>
            </w:pPr>
          </w:p>
          <w:p>
            <w:pPr>
              <w:pBdr>
                <w:bottom w:val="single" w:color="B45309" w:sz="6" w:space="8"/>
              </w:pBdr>
              <w:spacing w:after="500"/>
              <w:ind w:left="1200" w:right="800"/>
            </w:pPr>
            <w:r>
              <w:rPr>
                <w:rFonts w:ascii="Calibri"/>
                <w:color w:val="B45309"/>
                <w:spacing w:val="40"/>
                <w:sz w:val="18"/>
                <w:szCs w:val="18"/>
              </w:rPr>
              <w:t xml:space="preserve">K  O  R  A     M  O  B  I  L  E</w:t>
            </w:r>
          </w:p>
          <w:p>
            <w:pPr>
              <w:spacing w:after="100" w:line="920" w:lineRule="atLeast"/>
              <w:ind w:left="1200"/>
            </w:pPr>
            <w:r>
              <w:rPr>
                <w:rFonts w:ascii="Arial" w:eastAsia="Arial"/>
                <w:b/>
                <w:bCs/>
                <w:color w:val="241E1A"/>
                <w:sz w:val="80"/>
                <w:szCs w:val="80"/>
              </w:rPr>
              <w:t xml:space="preserve">Aplicación Móvil</w:t>
            </w:r>
          </w:p>
          <w:p>
            <w:pPr>
              <w:spacing w:after="300" w:line="920" w:lineRule="atLeast"/>
              <w:ind w:left="1200"/>
            </w:pPr>
            <w:r>
              <w:rPr>
                <w:rFonts w:ascii="Arial" w:eastAsia="Arial"/>
                <w:b/>
                <w:bCs/>
                <w:color w:val="241E1A"/>
                <w:sz w:val="80"/>
                <w:szCs w:val="80"/>
              </w:rPr>
              <w:t xml:space="preserve">Android de INSIGHT</w:t>
            </w:r>
          </w:p>
          <w:p>
            <w:pPr>
              <w:spacing w:after="800"/>
              <w:ind w:left="1200"/>
            </w:pPr>
            <w:r>
              <w:rPr>
                <w:rFonts w:ascii="Calibri" w:eastAsia="Calibri"/>
                <w:color w:val="6E6560"/>
                <w:sz w:val="24"/>
                <w:szCs w:val="24"/>
              </w:rPr>
              <w:t xml:space="preserve">Documentación Técnica del Ecosistema: App Expo + API Go + PostgreSQL</w:t>
            </w:r>
          </w:p>
          <w:p>
            <w:pPr>
              <w:pBdr>
                <w:left w:val="single" w:color="B45309" w:sz="8" w:space="12"/>
              </w:pBdr>
              <w:spacing w:after="80"/>
              <w:ind w:left="1400"/>
            </w:pPr>
            <w:r>
              <w:rPr>
                <w:rFonts w:ascii="Calibri" w:eastAsia="Calibri"/>
                <w:color w:val="4A4440"/>
                <w:sz w:val="24"/>
                <w:szCs w:val="24"/>
              </w:rPr>
              <w:t xml:space="preserve">Proyecto: mobile_kora v1.0</w:t>
            </w:r>
          </w:p>
          <w:p>
            <w:pPr>
              <w:pBdr>
                <w:left w:val="single" w:color="B45309" w:sz="8" w:space="12"/>
              </w:pBdr>
              <w:spacing w:after="80"/>
              <w:ind w:left="1400"/>
            </w:pPr>
            <w:r>
              <w:rPr>
                <w:rFonts w:ascii="Calibri" w:eastAsia="Calibri"/>
                <w:color w:val="4A4440"/>
                <w:sz w:val="24"/>
                <w:szCs w:val="24"/>
              </w:rPr>
              <w:t xml:space="preserve">Empresa: SANDALIAS INSIGHT (SANDALIASINSIGHT)</w:t>
            </w:r>
          </w:p>
          <w:p>
            <w:pPr>
              <w:pBdr>
                <w:left w:val="single" w:color="B45309" w:sz="8" w:space="12"/>
              </w:pBdr>
              <w:spacing w:after="80"/>
              <w:ind w:left="1400"/>
            </w:pPr>
            <w:r>
              <w:rPr>
                <w:rFonts w:ascii="Calibri" w:eastAsia="Calibri"/>
                <w:color w:val="4A4440"/>
                <w:sz w:val="24"/>
                <w:szCs w:val="24"/>
              </w:rPr>
              <w:t xml:space="preserve">Stack: React Native · Expo SDK 52 · Go 1.22 · PostgreSQL 15</w:t>
            </w:r>
          </w:p>
          <w:p>
            <w:pPr>
              <w:pBdr>
                <w:left w:val="single" w:color="B45309" w:sz="8" w:space="12"/>
              </w:pBdr>
              <w:spacing w:after="80"/>
              <w:ind w:left="1400"/>
            </w:pPr>
            <w:r>
              <w:rPr>
                <w:rFonts w:ascii="Calibri" w:eastAsia="Calibri"/>
                <w:color w:val="4A4440"/>
                <w:sz w:val="24"/>
                <w:szCs w:val="24"/>
              </w:rPr>
              <w:t xml:space="preserve">Producción: kora.insight-platforms.com (VPS Hostinger Ubuntu)</w:t>
            </w:r>
          </w:p>
          <w:p>
            <w:pPr>
              <w:pBdr>
                <w:left w:val="single" w:color="B45309" w:sz="8" w:space="12"/>
              </w:pBdr>
              <w:spacing w:after="80"/>
              <w:ind w:left="1400"/>
            </w:pPr>
            <w:r>
              <w:rPr>
                <w:rFonts w:ascii="Calibri" w:eastAsia="Calibri"/>
                <w:color w:val="4A4440"/>
                <w:sz w:val="24"/>
                <w:szCs w:val="24"/>
              </w:rPr>
              <w:t xml:space="preserve">Fecha: Septiembre de 2026</w:t>
            </w:r>
          </w:p>
          <w:p>
            <w:pPr>
              <w:spacing w:before="3944"/>
            </w:pPr>
          </w:p>
          <w:p>
            <w:pPr>
              <w:pBdr>
                <w:top w:val="single" w:color="B45309" w:sz="2" w:space="8"/>
              </w:pBdr>
              <w:spacing w:before="200"/>
              <w:ind w:left="1200" w:right="800"/>
            </w:pPr>
            <w:r>
              <w:rPr>
                <w:rFonts w:ascii="Arial"/>
                <w:color w:val="8A8378"/>
                <w:sz w:val="16"/>
                <w:szCs w:val="16"/>
              </w:rPr>
              <w:t xml:space="preserve">Ecosistema INSIGHT v4 — web + móvil</w:t>
            </w:r>
            <w:r>
              <w:t xml:space="preserve">                                        </w:t>
            </w:r>
            <w:r>
              <w:rPr>
                <w:rFonts w:ascii="Arial"/>
                <w:color w:val="8A8378"/>
                <w:sz w:val="16"/>
                <w:szCs w:val="16"/>
              </w:rPr>
              <w:t xml:space="preserve">Confidencial — uso interno</w:t>
            </w:r>
          </w:p>
        </w:tc>
      </w:tr>
    </w:tbl>
    <w:p>
      <w:pPr>
        <w:sectPr>
          <w:pgSz w:w="11906" w:h="16838" w:orient="portrait"/>
          <w:pgMar w:top="0" w:right="0" w:bottom="0" w:left="0" w:header="708" w:footer="708" w:gutter="0"/>
          <w:docGrid w:linePitch="360"/>
        </w:sectPr>
      </w:pPr>
    </w:p>
    <w:p>
      <w:pPr>
        <w:spacing w:after="360" w:before="480"/>
        <w:jc w:val="center"/>
      </w:pPr>
      <w:r>
        <w:rPr>
          <w:rFonts w:ascii="Calibri" w:eastAsia="Calibri"/>
          <w:b/>
          <w:bCs/>
          <w:color w:val="241E1A"/>
          <w:sz w:val="32"/>
          <w:szCs w:val="32"/>
        </w:rPr>
        <w:t xml:space="preserve">Índice</w:t>
      </w:r>
    </w:p>
    <w:sdt>
      <w:sdtPr>
        <w:alias w:val="Índice"/>
      </w:sdtPr>
      <w:sdtContent>
        <w:p>
          <w:r>
            <w:fldChar w:fldCharType="begin" w:dirty="true"/>
          </w:r>
          <w:r>
            <w:instrText xml:space="preserve">TOC \h \o "1-2"</w:instrText>
          </w:r>
          <w:r>
            <w:fldChar w:fldCharType="separate"/>
          </w:r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00" w:history="1">
            <w:r>
              <w:rPr>
                <w:rStyle w:val="Hyperlink"/>
              </w:rPr>
              <w:t>1. Introducción y Alcance</w:t>
            </w:r>
            <w:r>
              <w:tab/>
            </w:r>
            <w:r>
              <w:fldChar w:fldCharType="begin"/>
            </w:r>
            <w:r>
              <w:instrText xml:space="preserve"> PAGEREF _Toc100000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01" w:history="1">
            <w:r>
              <w:rPr>
                <w:rStyle w:val="Hyperlink"/>
              </w:rPr>
              <w:t>1.1 Objetivos cumplidos</w:t>
            </w:r>
            <w:r>
              <w:tab/>
            </w:r>
            <w:r>
              <w:fldChar w:fldCharType="begin"/>
            </w:r>
            <w:r>
              <w:instrText xml:space="preserve"> PAGEREF _Toc100001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02" w:history="1">
            <w:r>
              <w:rPr>
                <w:rStyle w:val="Hyperlink"/>
              </w:rPr>
              <w:t>2. Arquitectura del Ecosistema</w:t>
            </w:r>
            <w:r>
              <w:tab/>
            </w:r>
            <w:r>
              <w:fldChar w:fldCharType="begin"/>
            </w:r>
            <w:r>
              <w:instrText xml:space="preserve"> PAGEREF _Toc100002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03" w:history="1">
            <w:r>
              <w:rPr>
                <w:rStyle w:val="Hyperlink"/>
              </w:rPr>
              <w:t>2.1 Reglas de arquitectura aplicadas</w:t>
            </w:r>
            <w:r>
              <w:tab/>
            </w:r>
            <w:r>
              <w:fldChar w:fldCharType="begin"/>
            </w:r>
            <w:r>
              <w:instrText xml:space="preserve"> PAGEREF _Toc100003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04" w:history="1">
            <w:r>
              <w:rPr>
                <w:rStyle w:val="Hyperlink"/>
              </w:rPr>
              <w:t>3. Stack Tecnológico</w:t>
            </w:r>
            <w:r>
              <w:tab/>
            </w:r>
            <w:r>
              <w:fldChar w:fldCharType="begin"/>
            </w:r>
            <w:r>
              <w:instrText xml:space="preserve"> PAGEREF _Toc100004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05" w:history="1">
            <w:r>
              <w:rPr>
                <w:rStyle w:val="Hyperlink"/>
              </w:rPr>
              <w:t>4. Sincronización en Tiempo Real</w:t>
            </w:r>
            <w:r>
              <w:tab/>
            </w:r>
            <w:r>
              <w:fldChar w:fldCharType="begin"/>
            </w:r>
            <w:r>
              <w:instrText xml:space="preserve"> PAGEREF _Toc100005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06" w:history="1">
            <w:r>
              <w:rPr>
                <w:rStyle w:val="Hyperlink"/>
              </w:rPr>
              <w:t>4.1 Comportamiento del cliente móvil</w:t>
            </w:r>
            <w:r>
              <w:tab/>
            </w:r>
            <w:r>
              <w:fldChar w:fldCharType="begin"/>
            </w:r>
            <w:r>
              <w:instrText xml:space="preserve"> PAGEREF _Toc100006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07" w:history="1">
            <w:r>
              <w:rPr>
                <w:rStyle w:val="Hyperlink"/>
              </w:rPr>
              <w:t>4.2 Mapa de tópicos a secciones</w:t>
            </w:r>
            <w:r>
              <w:tab/>
            </w:r>
            <w:r>
              <w:fldChar w:fldCharType="begin"/>
            </w:r>
            <w:r>
              <w:instrText xml:space="preserve"> PAGEREF _Toc100007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08" w:history="1">
            <w:r>
              <w:rPr>
                <w:rStyle w:val="Hyperlink"/>
              </w:rPr>
              <w:t>5. El Backend Go: kora_mobile_api</w:t>
            </w:r>
            <w:r>
              <w:tab/>
            </w:r>
            <w:r>
              <w:fldChar w:fldCharType="begin"/>
            </w:r>
            <w:r>
              <w:instrText xml:space="preserve"> PAGEREF _Toc100008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09" w:history="1">
            <w:r>
              <w:rPr>
                <w:rStyle w:val="Hyperlink"/>
              </w:rPr>
              <w:t>5.1 Estructura del código</w:t>
            </w:r>
            <w:r>
              <w:tab/>
            </w:r>
            <w:r>
              <w:fldChar w:fldCharType="begin"/>
            </w:r>
            <w:r>
              <w:instrText xml:space="preserve"> PAGEREF _Toc100009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10" w:history="1">
            <w:r>
              <w:rPr>
                <w:rStyle w:val="Hyperlink"/>
              </w:rPr>
              <w:t>5.2 Endpoints REST (resumen)</w:t>
            </w:r>
            <w:r>
              <w:tab/>
            </w:r>
            <w:r>
              <w:fldChar w:fldCharType="begin"/>
            </w:r>
            <w:r>
              <w:instrText xml:space="preserve"> PAGEREF _Toc100010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11" w:history="1">
            <w:r>
              <w:rPr>
                <w:rStyle w:val="Hyperlink"/>
              </w:rPr>
              <w:t>5.3 Reglas de negocio implementadas (paridad con el web)</w:t>
            </w:r>
            <w:r>
              <w:tab/>
            </w:r>
            <w:r>
              <w:fldChar w:fldCharType="begin"/>
            </w:r>
            <w:r>
              <w:instrText xml:space="preserve"> PAGEREF _Toc100011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12" w:history="1">
            <w:r>
              <w:rPr>
                <w:rStyle w:val="Hyperlink"/>
              </w:rPr>
              <w:t>6. La Aplicación Móvil</w:t>
            </w:r>
            <w:r>
              <w:tab/>
            </w:r>
            <w:r>
              <w:fldChar w:fldCharType="begin"/>
            </w:r>
            <w:r>
              <w:instrText xml:space="preserve"> PAGEREF _Toc100012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13" w:history="1">
            <w:r>
              <w:rPr>
                <w:rStyle w:val="Hyperlink"/>
              </w:rPr>
              <w:t>6.1 Módulos y pantallas</w:t>
            </w:r>
            <w:r>
              <w:tab/>
            </w:r>
            <w:r>
              <w:fldChar w:fldCharType="begin"/>
            </w:r>
            <w:r>
              <w:instrText xml:space="preserve"> PAGEREF _Toc100013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14" w:history="1">
            <w:r>
              <w:rPr>
                <w:rStyle w:val="Hyperlink"/>
              </w:rPr>
              <w:t>6.2 Patrones de UX móvil</w:t>
            </w:r>
            <w:r>
              <w:tab/>
            </w:r>
            <w:r>
              <w:fldChar w:fldCharType="begin"/>
            </w:r>
            <w:r>
              <w:instrText xml:space="preserve"> PAGEREF _Toc100014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15" w:history="1">
            <w:r>
              <w:rPr>
                <w:rStyle w:val="Hyperlink"/>
              </w:rPr>
              <w:t>7. Contrato OpenAPI y Tipado</w:t>
            </w:r>
            <w:r>
              <w:tab/>
            </w:r>
            <w:r>
              <w:fldChar w:fldCharType="begin"/>
            </w:r>
            <w:r>
              <w:instrText xml:space="preserve"> PAGEREF _Toc100015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16" w:history="1">
            <w:r>
              <w:rPr>
                <w:rStyle w:val="Hyperlink"/>
              </w:rPr>
              <w:t>8. Infraestructura y Despliegue en Producción</w:t>
            </w:r>
            <w:r>
              <w:tab/>
            </w:r>
            <w:r>
              <w:fldChar w:fldCharType="begin"/>
            </w:r>
            <w:r>
              <w:instrText xml:space="preserve"> PAGEREF _Toc100016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17" w:history="1">
            <w:r>
              <w:rPr>
                <w:rStyle w:val="Hyperlink"/>
              </w:rPr>
              <w:t>8.1 Archivos entregados (mobile_kora/infra/)</w:t>
            </w:r>
            <w:r>
              <w:tab/>
            </w:r>
            <w:r>
              <w:fldChar w:fldCharType="begin"/>
            </w:r>
            <w:r>
              <w:instrText xml:space="preserve"> PAGEREF _Toc100017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18" w:history="1">
            <w:r>
              <w:rPr>
                <w:rStyle w:val="Hyperlink"/>
              </w:rPr>
              <w:t>8.2 Pasos de despliegue (resumen operativo)</w:t>
            </w:r>
            <w:r>
              <w:tab/>
            </w:r>
            <w:r>
              <w:fldChar w:fldCharType="begin"/>
            </w:r>
            <w:r>
              <w:instrText xml:space="preserve"> PAGEREF _Toc100018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19" w:history="1">
            <w:r>
              <w:rPr>
                <w:rStyle w:val="Hyperlink"/>
              </w:rPr>
              <w:t>8.3 Variables de entorno del servicio</w:t>
            </w:r>
            <w:r>
              <w:tab/>
            </w:r>
            <w:r>
              <w:fldChar w:fldCharType="begin"/>
            </w:r>
            <w:r>
              <w:instrText xml:space="preserve"> PAGEREF _Toc100019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20" w:history="1">
            <w:r>
              <w:rPr>
                <w:rStyle w:val="Hyperlink"/>
              </w:rPr>
              <w:t>8.4 Compilación del APK</w:t>
            </w:r>
            <w:r>
              <w:tab/>
            </w:r>
            <w:r>
              <w:fldChar w:fldCharType="begin"/>
            </w:r>
            <w:r>
              <w:instrText xml:space="preserve"> PAGEREF _Toc100020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21" w:history="1">
            <w:r>
              <w:rPr>
                <w:rStyle w:val="Hyperlink"/>
              </w:rPr>
              <w:t>9. Seguridad</w:t>
            </w:r>
            <w:r>
              <w:tab/>
            </w:r>
            <w:r>
              <w:fldChar w:fldCharType="begin"/>
            </w:r>
            <w:r>
              <w:instrText xml:space="preserve"> PAGEREF _Toc100021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22" w:history="1">
            <w:r>
              <w:rPr>
                <w:rStyle w:val="Hyperlink"/>
              </w:rPr>
              <w:t>10. Guía de Uso de la App en Producción</w:t>
            </w:r>
            <w:r>
              <w:tab/>
            </w:r>
            <w:r>
              <w:fldChar w:fldCharType="begin"/>
            </w:r>
            <w:r>
              <w:instrText xml:space="preserve"> PAGEREF _Toc100022 \h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23" w:history="1">
            <w:r>
              <w:rPr>
                <w:rStyle w:val="Hyperlink"/>
              </w:rPr>
              <w:t>10.1 Primer uso</w:t>
            </w:r>
            <w:r>
              <w:tab/>
            </w:r>
            <w:r>
              <w:fldChar w:fldCharType="begin"/>
            </w:r>
            <w:r>
              <w:instrText xml:space="preserve"> PAGEREF _Toc100023 \h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24" w:history="1">
            <w:r>
              <w:rPr>
                <w:rStyle w:val="Hyperlink"/>
              </w:rPr>
              <w:t>10.2 Operación diaria recomendada</w:t>
            </w:r>
            <w:r>
              <w:tab/>
            </w:r>
            <w:r>
              <w:fldChar w:fldCharType="begin"/>
            </w:r>
            <w:r>
              <w:instrText xml:space="preserve"> PAGEREF _Toc100024 \h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25" w:history="1">
            <w:r>
              <w:rPr>
                <w:rStyle w:val="Hyperlink"/>
              </w:rPr>
              <w:t>11. Verificación y Pruebas Realizadas</w:t>
            </w:r>
            <w:r>
              <w:tab/>
            </w:r>
            <w:r>
              <w:fldChar w:fldCharType="begin"/>
            </w:r>
            <w:r>
              <w:instrText xml:space="preserve"> PAGEREF _Toc100025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>
          <w:pPr>
            <w:pStyle w:val="11"/>
            <w:ind w:left="360"/>
            <w:tabs>
              <w:tab w:val="right" w:leader="dot" w:pos="9026"/>
            </w:tabs>
            <w:spacing w:before="120" w:after="60"/>
          </w:pPr>
          <w:hyperlink w:anchor="_Toc100026" w:history="1">
            <w:r>
              <w:rPr>
                <w:rStyle w:val="Hyperlink"/>
              </w:rPr>
              <w:t>11.1 Prueba cruzada recomendada en producción</w:t>
            </w:r>
            <w:r>
              <w:tab/>
            </w:r>
            <w:r>
              <w:fldChar w:fldCharType="begin"/>
            </w:r>
            <w:r>
              <w:instrText xml:space="preserve"> PAGEREF _Toc100026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27" w:history="1">
            <w:r>
              <w:rPr>
                <w:rStyle w:val="Hyperlink"/>
              </w:rPr>
              <w:t>12. Problemas Conocidos y Recomendaciones</w:t>
            </w:r>
            <w:r>
              <w:tab/>
            </w:r>
            <w:r>
              <w:fldChar w:fldCharType="begin"/>
            </w:r>
            <w:r>
              <w:instrText xml:space="preserve"> PAGEREF _Toc100027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28" w:history="1">
            <w:r>
              <w:rPr>
                <w:rStyle w:val="Hyperlink"/>
              </w:rPr>
              <w:t>Apéndice A. Árbol de Entregables</w:t>
            </w:r>
            <w:r>
              <w:tab/>
            </w:r>
            <w:r>
              <w:fldChar w:fldCharType="begin"/>
            </w:r>
            <w:r>
              <w:instrText xml:space="preserve"> PAGEREF _Toc100028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29" w:history="1">
            <w:r>
              <w:rPr>
                <w:rStyle w:val="Hyperlink"/>
              </w:rPr>
              <w:t>Apéndice B. Comandos Rápidos</w:t>
            </w:r>
            <w:r>
              <w:tab/>
            </w:r>
            <w:r>
              <w:fldChar w:fldCharType="begin"/>
            </w:r>
            <w:r>
              <w:instrText xml:space="preserve"> PAGEREF _Toc100029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>
          <w:pPr>
            <w:pStyle w:val="9"/>
            <w:tabs>
              <w:tab w:val="right" w:leader="dot" w:pos="9026"/>
            </w:tabs>
            <w:spacing w:before="120" w:after="60"/>
          </w:pPr>
          <w:hyperlink w:anchor="_Toc100030" w:history="1">
            <w:r>
              <w:rPr>
                <w:rStyle w:val="Hyperlink"/>
              </w:rPr>
              <w:t>Apéndice C. Puntos de Integración con el Sistema Existente</w:t>
            </w:r>
            <w:r>
              <w:tab/>
            </w:r>
            <w:r>
              <w:fldChar w:fldCharType="begin"/>
            </w:r>
            <w:r>
              <w:instrText xml:space="preserve"> PAGEREF _Toc100030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>
          <w:r>
            <w:fldChar w:fldCharType="end"/>
          </w:r>
        </w:p>
      </w:sdtContent>
    </w:sdt>
    <w:p>
      <w:pPr>
        <w:spacing w:before="200"/>
      </w:pPr>
      <w:r>
        <w:rPr>
          <w:rFonts w:ascii="Calibri" w:eastAsia="Calibri"/>
          <w:i/>
          <w:iCs/>
          <w:color w:val="888888"/>
          <w:sz w:val="18"/>
          <w:szCs w:val="18"/>
        </w:rPr>
        <w:t xml:space="preserve">Nota: este índice se genera mediante códigos de campo. Para actualizar los números de página tras editar el documento, haga clic derecho sobre el índice y seleccione «Actualizar campos».</w:t>
      </w:r>
    </w:p>
    <w:p>
      <w:r>
        <w:br w:type="page"/>
      </w:r>
    </w:p>
    <w:p>
      <w:pPr>
        <w:sectPr>
          <w:headerReference w:type="default" r:id="rId7"/>
          <w:footerReference w:type="default" r:id="rId8"/>
          <w:type w:val="nextPage"/>
          <w:pgSz w:w="11906" w:h="16838" w:orient="portrait"/>
          <w:pgMar w:top="1417" w:right="1417" w:bottom="1417" w:left="1701" w:header="708" w:footer="708" w:gutter="0"/>
          <w:pgNumType w:start="1" w:fmt="upperRoman"/>
          <w:docGrid w:linePitch="360"/>
        </w:sectPr>
      </w:pPr>
    </w:p>
    <w:p>
      <w:pPr>
        <w:pStyle w:val="Heading1"/>
        <w:spacing w:after="160" w:before="360" w:line="312"/>
      </w:pPr>
      <w:bookmarkStart w:id="100000" w:name="_Toc100000"/>
      <w:r>
        <w:rPr>
          <w:rFonts w:ascii="Calibri" w:eastAsia="Calibri"/>
          <w:b/>
          <w:bCs/>
          <w:color w:val="241E1A"/>
          <w:sz w:val="32"/>
          <w:szCs w:val="32"/>
        </w:rPr>
        <w:t xml:space="preserve">1. Introducción y Alcance</w:t>
      </w:r>
      <w:bookmarkEnd w:id="100000"/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Este documento describe de forma completa la Aplicación Móvil Android de INSIGHT (proyecto «mobile_kora»), desarrollada para SANDALIAS INSIGHT como extensión móvil de su sistema de gestión empresarial web. El desarrollo se basó en los entregables provistos: el proyecto web completo (app_kora, db_kora, infra_kora), el plan técnico maestro (plan_mobile.md), los requisitos funcionales (requirements_mobile.md), la documentación de módulos del sistema (INSIGHT_Modulos_del_Sistema.docx) y las capturas de referencia de diseño móvil (reference_mobile_app.docx).</w:t>
      </w:r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El ecosistema entregado comprende: (a) la aplicación Android nativa en React Native + Expo + TypeScript con NativeWind y Lucide Icons; (b) un backend dedicado «kora_mobile_api» en Go (Gin + pgx) que expone una API REST + SSE; (c) un contrato OpenAPI único que tipa extremo a extremo; (d) los archivos de infraestructura (docker compose overlay + nginx + script de despliegue) para el VPS Hostinger Ubuntu de producción; y (e) la landing «mobile_guide_kora» con la guía paso a paso en español para ejecutar, compilar el APK y desplegar.</w:t>
      </w:r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Principio rector del diseño: la app móvil NO tiene base de datos propia. Toda lectura y escritura se realiza contra la MISMA base PostgreSQL de producción (db_kora_v4) que utiliza el sistema web, de modo que web y móvil permanecen siempre consistentes y la sincronización es en tiempo real mediante el mecanismo LISTEN/NOTIFY ya existente (canal kora_dashboard_events).</w:t>
      </w:r>
    </w:p>
    <w:p>
      <w:pPr>
        <w:pStyle w:val="Heading2"/>
        <w:spacing w:after="120" w:before="240" w:line="312"/>
      </w:pPr>
      <w:bookmarkStart w:id="100001" w:name="_Toc100001"/>
      <w:r>
        <w:rPr>
          <w:rFonts w:ascii="Calibri" w:eastAsia="Calibri"/>
          <w:b/>
          <w:bCs/>
          <w:color w:val="241E1A"/>
          <w:sz w:val="28"/>
          <w:szCs w:val="28"/>
        </w:rPr>
        <w:t xml:space="preserve">1.1 Objetivos cumplidos</w:t>
      </w:r>
      <w:bookmarkEnd w:id="100001"/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Replicar en móvil los módulos clave del sistema web: Home/Principal, Inventario (Productos, Categorías y Marcas, Almacenes, Kardex), Ventas (Nueva Venta/POS, Flujo de Caja, Historial, Facturación SUNAT, Clientes) y Reportes (Dashboard KPI).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UX móvil personalizada: listas tipo ListView con paginación de 10 filas y tarjetas expandibles (Card Layout con efecto drop-down) que muestran el detalle completo y las operaciones de cada registro.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POS con escáner de código de barras: al pulsar «Cod. Barras» se abre la cámara, se lee EAN-13/EAN-8/UPC/Code128 y se carga el EJEMPLAR (PRODUCT_SAMPLE) con su descripción, talla/color/género, precio y stock.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Sincronización en tiempo real web ↔ móvil vía SSE, reutilizando los triggers pg_notify existentes (migración 27) y replicando el patrón de broker con coalescing de 400 ms y secuencias por tópico.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Reutilización de integraciones existentes: WhatsApp (Evolution API, credenciales en whatsapp_config) y SUNAT (configuración en sunat_config), sin duplicar credenciales en el APK.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Despliegue en producción en el VPS Hostinger con el mismo dominio y certificado SSL (kora.insight-platforms.com), añadiendo el servicio kora_mobile_api al stack Docker existente.</w:t>
      </w:r>
    </w:p>
    <w:p>
      <w:pPr>
        <w:pStyle w:val="Heading1"/>
        <w:spacing w:after="160" w:before="360" w:line="312"/>
      </w:pPr>
      <w:bookmarkStart w:id="100002" w:name="_Toc100002"/>
      <w:r>
        <w:rPr>
          <w:rFonts w:ascii="Calibri" w:eastAsia="Calibri"/>
          <w:b/>
          <w:bCs/>
          <w:color w:val="241E1A"/>
          <w:sz w:val="32"/>
          <w:szCs w:val="32"/>
        </w:rPr>
        <w:t xml:space="preserve">2. Arquitectura del Ecosistema</w:t>
      </w:r>
      <w:bookmarkEnd w:id="100002"/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La arquitectura conserva intacto el stack web en producción (Flask + Gunicorn detrás de nginx, PostgreSQL 15 y Evolution API para WhatsApp, todos en Docker) y añade un nuevo contenedor, kora_mobile_api, que se une a las mismas redes (kora_network para acceder a kora_postgres y web_network para ser alcanzado por nginx). La app Android consume exclusivamente HTTPS contra https://kora.insight-platforms.com/v1.</w:t>
      </w:r>
    </w:p>
    <w:p>
      <w:pPr>
        <w:spacing w:after="40" w:before="160"/>
        <w:jc w:val="center"/>
      </w:pPr>
      <w:r>
        <w:drawing>
          <wp:inline distT="0" distB="0" distL="0" distR="0">
            <wp:extent cx="5715000" cy="3857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60" w:line="280"/>
        <w:jc w:val="center"/>
      </w:pPr>
      <w:r>
        <w:rPr>
          <w:rFonts w:ascii="Calibri" w:eastAsia="Calibri"/>
          <w:i/>
          <w:iCs/>
          <w:color w:val="68605A"/>
          <w:sz w:val="18"/>
          <w:szCs w:val="18"/>
        </w:rPr>
        <w:t xml:space="preserve">Figura 1. Arquitectura del ecosistema INSIGHT: web y móvil comparten una única base de datos PostgreSQL.</w:t>
      </w:r>
    </w:p>
    <w:p>
      <w:pPr>
        <w:keepNext/>
        <w:spacing w:after="80" w:before="200" w:line="312"/>
      </w:pPr>
      <w:r>
        <w:rPr>
          <w:rFonts w:ascii="Calibri" w:eastAsia="Calibri"/>
          <w:b/>
          <w:bCs/>
          <w:color w:val="241E1A"/>
          <w:sz w:val="20"/>
          <w:szCs w:val="20"/>
        </w:rPr>
        <w:t xml:space="preserve">Tabla 1. Componentes del ecosistema y su rol</w:t>
      </w:r>
    </w:p>
    <w:tbl>
      <w:tblPr>
        <w:tblW w:type="pct" w:w="100%"/>
        <w:tblBorders>
          <w:top w:val="single" w:color="B45309" w:sz="4"/>
          <w:left w:val="none"/>
          <w:bottom w:val="single" w:color="B45309" w:sz="4"/>
          <w:right w:val="none"/>
          <w:insideH w:val="single" w:color="D9D2C7" w:sz="1"/>
          <w:insideV w:val="single" w:color="E5DFD4" w:sz="1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24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Componente</w:t>
            </w:r>
          </w:p>
        </w:tc>
        <w:tc>
          <w:tcPr>
            <w:tcW w:type="pct" w:w="30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Tecnología</w:t>
            </w:r>
          </w:p>
        </w:tc>
        <w:tc>
          <w:tcPr>
            <w:tcW w:type="pct" w:w="46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Rol</w:t>
            </w:r>
          </w:p>
        </w:tc>
      </w:tr>
      <w:tr>
        <w:trPr>
          <w:cantSplit/>
        </w:trPr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App Android (mobile_kora)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React Native 0.76 · Expo SDK 52 · TypeScript · NativeWind v4 · Lucide</w:t>
            </w:r>
          </w:p>
        </w:tc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UI móvil: 17 pantallas, POS con escáner, dashboard KPI en vivo, cola offline</w:t>
            </w:r>
          </w:p>
        </w:tc>
      </w:tr>
      <w:tr>
        <w:trPr>
          <w:cantSplit/>
        </w:trPr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Navegación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Expo Router v4 (file-based)</w:t>
            </w:r>
          </w:p>
        </w:tc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Rutas por archivo, deep-linking Android (scheme kora)</w:t>
            </w:r>
          </w:p>
        </w:tc>
      </w:tr>
      <w:tr>
        <w:trPr>
          <w:cantSplit/>
        </w:trPr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Estado de servidor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TanStack Query v5</w:t>
            </w:r>
          </w:p>
        </w:tc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Caché, refetch, invalidación por tópico, keepPreviousData</w:t>
            </w:r>
          </w:p>
        </w:tc>
      </w:tr>
      <w:tr>
        <w:trPr>
          <w:cantSplit/>
        </w:trPr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kora_mobile_api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Go 1.22 · Gin · pgx v5 · gopdf</w:t>
            </w:r>
          </w:p>
        </w:tc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API REST + SSE, reglas de negocio, broker LISTEN/NOTIFY, PDFs</w:t>
            </w:r>
          </w:p>
        </w:tc>
      </w:tr>
      <w:tr>
        <w:trPr>
          <w:cantSplit/>
        </w:trPr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Base de datos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PostgreSQL 15 (db_kora_v4)</w:t>
            </w:r>
          </w:p>
        </w:tc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Fuente única de verdad para web y móvil</w:t>
            </w:r>
          </w:p>
        </w:tc>
      </w:tr>
      <w:tr>
        <w:trPr>
          <w:cantSplit/>
        </w:trPr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Tiempo real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pg_notify → broker Go → SSE /v1/stream</w:t>
            </w:r>
          </w:p>
        </w:tc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Frames idénticos a los del web: {topic, seq, ts, count, ids}</w:t>
            </w:r>
          </w:p>
        </w:tc>
      </w:tr>
      <w:tr>
        <w:trPr>
          <w:cantSplit/>
        </w:trPr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nginx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Proxy inverso + SSL Let's Encrypt</w:t>
            </w:r>
          </w:p>
        </w:tc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Ruta /v1/ → kora_mobile_api:8080 (buffering off para SSE)</w:t>
            </w:r>
          </w:p>
        </w:tc>
      </w:tr>
      <w:tr>
        <w:trPr>
          <w:cantSplit/>
        </w:trPr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Evolution API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WhatsApp (Baileys) + Redis</w:t>
            </w:r>
          </w:p>
        </w:tc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Envío de comprobantes PDF por WhatsApp desde la app</w:t>
            </w:r>
          </w:p>
        </w:tc>
      </w:tr>
      <w:tr>
        <w:trPr>
          <w:cantSplit/>
        </w:trPr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SUNAT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XML UBL 2.1 + XAdES</w:t>
            </w:r>
          </w:p>
        </w:tc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Emisión de BOLETA/FACTURA — se reutiliza el flujo existente vía sunat_config</w:t>
            </w:r>
          </w:p>
        </w:tc>
      </w:tr>
      <w:tr>
        <w:trPr>
          <w:cantSplit/>
        </w:trPr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Landing guía (mobile_guide_kora)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Next.js + shadcn/ui + Tailwind</w:t>
            </w:r>
          </w:p>
        </w:tc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Documentación web paso a paso en español (mismo formato del proyecto de referencia)</w:t>
            </w:r>
          </w:p>
        </w:tc>
      </w:tr>
    </w:tbl>
    <w:p>
      <w:pPr>
        <w:pStyle w:val="Heading2"/>
        <w:spacing w:after="120" w:before="240" w:line="312"/>
      </w:pPr>
      <w:bookmarkStart w:id="100003" w:name="_Toc100003"/>
      <w:r>
        <w:rPr>
          <w:rFonts w:ascii="Calibri" w:eastAsia="Calibri"/>
          <w:b/>
          <w:bCs/>
          <w:color w:val="241E1A"/>
          <w:sz w:val="28"/>
          <w:szCs w:val="28"/>
        </w:rPr>
        <w:t xml:space="preserve">2.1 Reglas de arquitectura aplicadas</w:t>
      </w:r>
      <w:bookmarkEnd w:id="100003"/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Una sola base de datos: ninguna tabla nueva de negocio; la única DDL añadida es la columna opcional client_request_id (migración 30) para idempotencia de ventas móviles.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Reutilización de eventos: el backend Go abre UNA conexión dedicada LISTEN kora_dashboard_events y replica el patrón del broker web (coalescing ~400 ms, seq por tópico, supresión de tormentas).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Lógica compartida por contrato: el contrato OpenAPI 3 (openapi.yaml) define endpoints y tipos; los servicios Go implementan las mismas reglas de negocio que el Flask (IGV incluido, transacción de venta, validación de caja y stock).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Tipo seguro extremo a extremo: los tipos TS de la app (src/api/schema.d.ts) y la implementación Go comparten la misma definición de campos (snake_case).</w:t>
      </w:r>
    </w:p>
    <w:p>
      <w:pPr>
        <w:pStyle w:val="Heading1"/>
        <w:spacing w:after="160" w:before="360" w:line="312"/>
      </w:pPr>
      <w:bookmarkStart w:id="100004" w:name="_Toc100004"/>
      <w:r>
        <w:rPr>
          <w:rFonts w:ascii="Calibri" w:eastAsia="Calibri"/>
          <w:b/>
          <w:bCs/>
          <w:color w:val="241E1A"/>
          <w:sz w:val="32"/>
          <w:szCs w:val="32"/>
        </w:rPr>
        <w:t xml:space="preserve">3. Stack Tecnológico</w:t>
      </w:r>
      <w:bookmarkEnd w:id="100004"/>
    </w:p>
    <w:p>
      <w:pPr>
        <w:keepNext/>
        <w:spacing w:after="80" w:before="200" w:line="312"/>
      </w:pPr>
      <w:r>
        <w:rPr>
          <w:rFonts w:ascii="Calibri" w:eastAsia="Calibri"/>
          <w:b/>
          <w:bCs/>
          <w:color w:val="241E1A"/>
          <w:sz w:val="20"/>
          <w:szCs w:val="20"/>
        </w:rPr>
        <w:t xml:space="preserve">Tabla 2. Stack del ecosistema móvil</w:t>
      </w:r>
    </w:p>
    <w:tbl>
      <w:tblPr>
        <w:tblW w:type="pct" w:w="100%"/>
        <w:tblBorders>
          <w:top w:val="single" w:color="B45309" w:sz="4"/>
          <w:left w:val="none"/>
          <w:bottom w:val="single" w:color="B45309" w:sz="4"/>
          <w:right w:val="none"/>
          <w:insideH w:val="single" w:color="D9D2C7" w:sz="1"/>
          <w:insideV w:val="single" w:color="E5DFD4" w:sz="1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22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Capa</w:t>
            </w:r>
          </w:p>
        </w:tc>
        <w:tc>
          <w:tcPr>
            <w:tcW w:type="pct" w:w="34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Tecnología</w:t>
            </w:r>
          </w:p>
        </w:tc>
        <w:tc>
          <w:tcPr>
            <w:tcW w:type="pct" w:w="44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Versión / Detalle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App móvil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React Native + Expo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SDK 52, RN 0.76, React 18.3.1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Lenguaje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TypeScript (estricto)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tsconfig strict, 0 errores verificados con tsc --noEmit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Estilos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NativeWind v4 + Tailwind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Tema INSIGHT ámbar #D97706 + neutros zinc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Iconos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lucide-react-native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Iconos de línea consistentes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Navegación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Expo Router v4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app/ con grupos (auth), (tabs) y stacks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Estado servidor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@tanstack/react-query v5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placeholderData keepPreviousData, invalidación por tópico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Estado cliente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zustand + AsyncStorage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Sesión persistente (JWT) y carrito del POS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Escáner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expo-camera CameraView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ean13, ean8, upc_a, code128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Tiempo real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react-native-sse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EventSource con Bearer, reconexión con backoff, polling 10 s de respaldo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Gráficos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react-native-svg (propios)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LineChart, BarChart, PieChart responsivos, etiquetas ≥ 12 px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Backend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Go + Gin + pgx v5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go.mod github.com/sandaliaskora/mobile_kora/server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Auth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golang-jwt v5 (HS256)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Access 2 h + refresh 7 d rotatable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PDF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signintech/gopdf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Comprobante térmico 80 mm y A4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Base de datos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PostgreSQL 15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db_kora_v4 (la misma del web)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Infra</w:t>
            </w:r>
          </w:p>
        </w:tc>
        <w:tc>
          <w:tcPr>
            <w:tcW w:type="pct" w:w="3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Docker Compose + nginx</w:t>
            </w:r>
          </w:p>
        </w:tc>
        <w:tc>
          <w:tcPr>
            <w:tcW w:type="pct" w:w="4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Overlay docker-compose.mobile.yml + location /v1/</w:t>
            </w:r>
          </w:p>
        </w:tc>
      </w:tr>
    </w:tbl>
    <w:p>
      <w:pPr>
        <w:pStyle w:val="Heading1"/>
        <w:spacing w:after="160" w:before="360" w:line="312"/>
      </w:pPr>
      <w:bookmarkStart w:id="100005" w:name="_Toc100005"/>
      <w:r>
        <w:rPr>
          <w:rFonts w:ascii="Calibri" w:eastAsia="Calibri"/>
          <w:b/>
          <w:bCs/>
          <w:color w:val="241E1A"/>
          <w:sz w:val="32"/>
          <w:szCs w:val="32"/>
        </w:rPr>
        <w:t xml:space="preserve">4. Sincronización en Tiempo Real</w:t>
      </w:r>
      <w:bookmarkEnd w:id="100005"/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El requisito de sincronización se satisface reutilizando el pipeline existente del sistema web. Las tablas de negocio (sale, sale_payment, sale_detail, stock_movement, expense, invoice, cash_movement) emiten notificaciones a través de los triggers de la migración 27 hacia el canal kora_dashboard_events. El backend Go mantiene una conexión dedicada en estado LISTEN y un broker que: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Coalesce los eventos por tópico durante 400 ms (evita tormentas ante escrituras masivas).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Asigna una secuencia monótona (seq) por tópico, permitiendo a los clientes detectar huecos y pedir un resync completo.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Emite frames SSE con el mismo formato que el web: {topic, seq, ts, count, sums, ids}, más un ping cada 25 s para mantener viva la conexión.</w:t>
      </w:r>
    </w:p>
    <w:p>
      <w:pPr>
        <w:spacing w:after="40" w:before="160"/>
        <w:jc w:val="center"/>
      </w:pPr>
      <w:r>
        <w:drawing>
          <wp:inline distT="0" distB="0" distL="0" distR="0">
            <wp:extent cx="5715000" cy="2333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60" w:line="280"/>
        <w:jc w:val="center"/>
      </w:pPr>
      <w:r>
        <w:rPr>
          <w:rFonts w:ascii="Calibri" w:eastAsia="Calibri"/>
          <w:i/>
          <w:iCs/>
          <w:color w:val="68605A"/>
          <w:sz w:val="18"/>
          <w:szCs w:val="18"/>
        </w:rPr>
        <w:t xml:space="preserve">Figura 2. Flujo de sincronización en tiempo real: de la escritura en PostgreSQL al refresco de KPIs en web y app.</w:t>
      </w:r>
    </w:p>
    <w:p>
      <w:pPr>
        <w:pStyle w:val="Heading2"/>
        <w:spacing w:after="120" w:before="240" w:line="312"/>
      </w:pPr>
      <w:bookmarkStart w:id="100006" w:name="_Toc100006"/>
      <w:r>
        <w:rPr>
          <w:rFonts w:ascii="Calibri" w:eastAsia="Calibri"/>
          <w:b/>
          <w:bCs/>
          <w:color w:val="241E1A"/>
          <w:sz w:val="28"/>
          <w:szCs w:val="28"/>
        </w:rPr>
        <w:t xml:space="preserve">4.1 Comportamiento del cliente móvil</w:t>
      </w:r>
      <w:bookmarkEnd w:id="100006"/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useSSE abre un EventSource a /v1/stream?topics=sale,payment,stock,expense,invoice,cash con el token JWT en cabeceras.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Cada frame invalida las queries de dashboard afectadas en TanStack Query, que automáticamente pide un snapshot fresco al endpoint /v1/dashboards/{sección}.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Si se detecta un hueco de secuencia, la app fuerza un resync total (invalidación de todas las claves de dashboard y de listas).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Al recuperar el foco (AppState active) se reconecta y resincroniza; si el SSE no está disponible, cae a polling de 10 s.</w:t>
      </w:r>
    </w:p>
    <w:p>
      <w:pPr>
        <w:pStyle w:val="Heading2"/>
        <w:spacing w:after="120" w:before="240" w:line="312"/>
      </w:pPr>
      <w:bookmarkStart w:id="100007" w:name="_Toc100007"/>
      <w:r>
        <w:rPr>
          <w:rFonts w:ascii="Calibri" w:eastAsia="Calibri"/>
          <w:b/>
          <w:bCs/>
          <w:color w:val="241E1A"/>
          <w:sz w:val="28"/>
          <w:szCs w:val="28"/>
        </w:rPr>
        <w:t xml:space="preserve">4.2 Mapa de tópicos a secciones</w:t>
      </w:r>
      <w:bookmarkEnd w:id="100007"/>
    </w:p>
    <w:p>
      <w:pPr>
        <w:keepNext/>
        <w:spacing w:after="80" w:before="200" w:line="312"/>
      </w:pPr>
      <w:r>
        <w:rPr>
          <w:rFonts w:ascii="Calibri" w:eastAsia="Calibri"/>
          <w:b/>
          <w:bCs/>
          <w:color w:val="241E1A"/>
          <w:sz w:val="20"/>
          <w:szCs w:val="20"/>
        </w:rPr>
        <w:t xml:space="preserve">Tabla 3. Correspondencia tópico → secciones refrescadas</w:t>
      </w:r>
    </w:p>
    <w:tbl>
      <w:tblPr>
        <w:tblW w:type="pct" w:w="100%"/>
        <w:tblBorders>
          <w:top w:val="single" w:color="B45309" w:sz="4"/>
          <w:left w:val="none"/>
          <w:bottom w:val="single" w:color="B45309" w:sz="4"/>
          <w:right w:val="none"/>
          <w:insideH w:val="single" w:color="D9D2C7" w:sz="1"/>
          <w:insideV w:val="single" w:color="E5DFD4" w:sz="1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22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Tópico (trigger)</w:t>
            </w:r>
          </w:p>
        </w:tc>
        <w:tc>
          <w:tcPr>
            <w:tcW w:type="pct" w:w="30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Tablas de origen</w:t>
            </w:r>
          </w:p>
        </w:tc>
        <w:tc>
          <w:tcPr>
            <w:tcW w:type="pct" w:w="48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Secciones del dashboard afectadas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sale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sale</w:t>
            </w:r>
          </w:p>
        </w:tc>
        <w:tc>
          <w:tcPr>
            <w:tcW w:type="pct" w:w="4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kpis, sales-summary, sales-weekly, sales-semester, sales-latest, canal, impuestos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payment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sale_payment</w:t>
            </w:r>
          </w:p>
        </w:tc>
        <w:tc>
          <w:tcPr>
            <w:tcW w:type="pct" w:w="4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kpis, sales-by-payment, caja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sale_detail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sale_detail</w:t>
            </w:r>
          </w:p>
        </w:tc>
        <w:tc>
          <w:tcPr>
            <w:tcW w:type="pct" w:w="4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top productos (sales-weekly)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stock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stock_movement, warehouse_stock</w:t>
            </w:r>
          </w:p>
        </w:tc>
        <w:tc>
          <w:tcPr>
            <w:tcW w:type="pct" w:w="4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inventory-kpis, alerts-latest, kpis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expense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expense</w:t>
            </w:r>
          </w:p>
        </w:tc>
        <w:tc>
          <w:tcPr>
            <w:tcW w:type="pct" w:w="4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kpis (gastos, utilidad), expenses-by-category, semestral, diaria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invoice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invoice</w:t>
            </w:r>
          </w:p>
        </w:tc>
        <w:tc>
          <w:tcPr>
            <w:tcW w:type="pct" w:w="4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facturación SUNAT, contabilidad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cash</w:t>
            </w:r>
          </w:p>
        </w:tc>
        <w:tc>
          <w:tcPr>
            <w:tcW w:type="pct" w:w="3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cash_register, cash_movement</w:t>
            </w:r>
          </w:p>
        </w:tc>
        <w:tc>
          <w:tcPr>
            <w:tcW w:type="pct" w:w="4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estado de caja, movimientos</w:t>
            </w:r>
          </w:p>
        </w:tc>
      </w:tr>
    </w:tbl>
    <w:p>
      <w:pPr>
        <w:pStyle w:val="Heading1"/>
        <w:spacing w:after="160" w:before="360" w:line="312"/>
      </w:pPr>
      <w:bookmarkStart w:id="100008" w:name="_Toc100008"/>
      <w:r>
        <w:rPr>
          <w:rFonts w:ascii="Calibri" w:eastAsia="Calibri"/>
          <w:b/>
          <w:bCs/>
          <w:color w:val="241E1A"/>
          <w:sz w:val="32"/>
          <w:szCs w:val="32"/>
        </w:rPr>
        <w:t xml:space="preserve">5. El Backend Go: kora_mobile_api</w:t>
      </w:r>
      <w:bookmarkEnd w:id="100008"/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El backend es un servicio Go independiente compilable (verificado con go build, go vet y gofmt sobre Go 1.22) que se despliega como contenedor adicional del stack de producción. Toda la capa de datos usa pgx v5 con pool de conexiones, sentencias 100% parametrizadas ($1..$n) y transacciones explícitas para las escrituras críticas.</w:t>
      </w:r>
    </w:p>
    <w:p>
      <w:pPr>
        <w:pStyle w:val="Heading2"/>
        <w:spacing w:after="120" w:before="240" w:line="312"/>
      </w:pPr>
      <w:bookmarkStart w:id="100009" w:name="_Toc100009"/>
      <w:r>
        <w:rPr>
          <w:rFonts w:ascii="Calibri" w:eastAsia="Calibri"/>
          <w:b/>
          <w:bCs/>
          <w:color w:val="241E1A"/>
          <w:sz w:val="28"/>
          <w:szCs w:val="28"/>
        </w:rPr>
        <w:t xml:space="preserve">5.1 Estructura del código</w:t>
      </w:r>
      <w:bookmarkEnd w:id="100009"/>
    </w:p>
    <w:tbl>
      <w:tblPr>
        <w:tblW w:type="pct" w:w="100%"/>
        <w:tblBorders>
          <w:top w:val="single" w:color="B45309" w:sz="2"/>
          <w:left w:val="single" w:color="B45309" w:sz="2"/>
          <w:bottom w:val="single" w:color="B45309" w:sz="2"/>
          <w:right w:val="single" w:color="B45309" w:sz="2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7F3EC" w:val="clear"/>
            <w:tcMar>
              <w:top w:type="dxa" w:w="100"/>
              <w:left w:type="dxa" w:w="180"/>
              <w:bottom w:type="dxa" w:w="100"/>
              <w:right w:type="dxa" w:w="180"/>
            </w:tcMar>
          </w:tcPr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mobile_kora/server/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├── cmd/api/main.go              # wiring, rutas, shutdown elegante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├── internal/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├── config/                  # DATABASE_URL, JWT_SECRET, LISTEN_CHANNEL, ...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├── db/                      # pgxpool + helpers de consulta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├── auth/                    # login (credentials/users), JWT HS256, middleware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├── httpx/                   # envelope Ok/Created/Paged/Err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├── domain/                  # structs con JSON tags = openapi.yaml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├── handlers/                # 12 controladores delgados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├── services/                # sale_service (transacción), cash, kardex,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│                            # dashboards, whatsapp, sunat, pdf, ...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├── realtime/                # listener LISTEN + broker 400 ms + hub SSE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├── middleware/              # logging slog + CORS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└── pagination/              # page 1-based, size 10 (máx 100)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├── migrations/30_mobile_client_request_id.sql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├── Dockerfile                   # multi-stage golang:1.22-alpine → alpine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├── .env.example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└── go.mod / go.sum</w:t>
            </w:r>
          </w:p>
        </w:tc>
      </w:tr>
    </w:tbl>
    <w:p>
      <w:pPr>
        <w:pStyle w:val="Heading2"/>
        <w:spacing w:after="120" w:before="240" w:line="312"/>
      </w:pPr>
      <w:bookmarkStart w:id="100010" w:name="_Toc100010"/>
      <w:r>
        <w:rPr>
          <w:rFonts w:ascii="Calibri" w:eastAsia="Calibri"/>
          <w:b/>
          <w:bCs/>
          <w:color w:val="241E1A"/>
          <w:sz w:val="28"/>
          <w:szCs w:val="28"/>
        </w:rPr>
        <w:t xml:space="preserve">5.2 Endpoints REST (resumen)</w:t>
      </w:r>
      <w:bookmarkEnd w:id="100010"/>
    </w:p>
    <w:p>
      <w:pPr>
        <w:keepNext/>
        <w:spacing w:after="80" w:before="200" w:line="312"/>
      </w:pPr>
      <w:r>
        <w:rPr>
          <w:rFonts w:ascii="Calibri" w:eastAsia="Calibri"/>
          <w:b/>
          <w:bCs/>
          <w:color w:val="241E1A"/>
          <w:sz w:val="20"/>
          <w:szCs w:val="20"/>
        </w:rPr>
        <w:t xml:space="preserve">Tabla 4. API v1 expuesta por kora_mobile_api</w:t>
      </w:r>
    </w:p>
    <w:tbl>
      <w:tblPr>
        <w:tblW w:type="pct" w:w="100%"/>
        <w:tblBorders>
          <w:top w:val="single" w:color="B45309" w:sz="4"/>
          <w:left w:val="none"/>
          <w:bottom w:val="single" w:color="B45309" w:sz="4"/>
          <w:right w:val="none"/>
          <w:insideH w:val="single" w:color="D9D2C7" w:sz="1"/>
          <w:insideV w:val="single" w:color="E5DFD4" w:sz="1"/>
        </w:tblBorders>
      </w:tblPr>
      <w:tblGrid>
        <w:gridCol w:w="100"/>
        <w:gridCol w:w="100"/>
      </w:tblGrid>
      <w:tr>
        <w:trPr>
          <w:cantSplit/>
          <w:tblHeader/>
        </w:trPr>
        <w:tc>
          <w:tcPr>
            <w:tcW w:type="pct" w:w="42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Método y ruta</w:t>
            </w:r>
          </w:p>
        </w:tc>
        <w:tc>
          <w:tcPr>
            <w:tcW w:type="pct" w:w="58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Descripción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POST /v1/auth/login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Login contra credentials/users (mismas credenciales del web); devuelve access_token (2 h), refresh_token (7 d) y perfil con permisos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POST /v1/auth/refresh · GET /v1/auth/me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Rotación de token y perfil de la sesión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 /v1/products?page&amp;size&amp;q&amp;category&amp;brand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Productos paginados (10 por defecto) con conteo de ejemplares y stock total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 /v1/products/:id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Detalle + ejemplares (talla/color/género, precios, stock, SKU, barcode)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 /v1/samples/barcode/:code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Lookup de ejemplar por código de barras (para el escáner del POS)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 /v1/categories | subcategories | brands | sizes | colors | genders | warehouses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Catálogos paginados (CRUD completo en categories)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 /v1/warehouses/:id/stock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Stock por almacén y ejemplar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GET/POST /v1/stock-movements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Historial y registro de movimientos ENTRY/EXIT/ADJUSTMENT/TRANSFER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 /v1/kardex?sample&amp;from&amp;to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Kardex con saldo inicial y saldo corrido por movimiento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GET/POST /v1/sales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Historial paginado (filtros fecha/cliente/canal/estado) y creación transaccional (POS)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 /v1/sales/:id · POST /v1/sales/:id/void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Detalle completo; anulación con devolución de stock por ejemplar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POST /v1/sales/:id/whatsapp · GET /v1/sales/:id/pdf?format=thermal|a4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Envío del comprobante por WhatsApp (Evolution) y PDF (80 mm / A4)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 /v1/cash/status · POST /v1/cash/open · POST /v1/cash/close · GET/POST /v1/cash/movements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Flujo de caja: apertura, cierre con esperado/real/diferencia y movimientos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GET/POST /v1/clients · GET/PUT/DELETE /v1/clients/:id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CRUD de clientes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 /v1/invoices · POST /v1/invoices/:id/send-sunat · POST /v1/invoices/:id/whatsapp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Comprobantes SUNAT con estado y envíos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 /v1/dashboards/:section?month&amp;year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12 secciones: kpis, sales-summary, sales-weekly, sales-semester, sales-latest, expenses-by-category, sales-by-payment, sales-by-channel, sales-by-channel-share, sales-expenses-daily, inventory-kpis, alerts-latest (sobre las vistas v_dash_*)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 /v1/stream?topics=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SSE con frames {topic, seq, ts, count, sums, ids} + ping 25 s</w:t>
            </w:r>
          </w:p>
        </w:tc>
      </w:tr>
      <w:tr>
        <w:trPr>
          <w:cantSplit/>
        </w:trPr>
        <w:tc>
          <w:tcPr>
            <w:tcW w:type="pct" w:w="4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GET /healthz</w:t>
            </w:r>
          </w:p>
        </w:tc>
        <w:tc>
          <w:tcPr>
            <w:tcW w:type="pct" w:w="5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Sonda de vida: comprueba pool de BD y conexión LISTEN (público)</w:t>
            </w:r>
          </w:p>
        </w:tc>
      </w:tr>
    </w:tbl>
    <w:p>
      <w:pPr>
        <w:pStyle w:val="Heading2"/>
        <w:spacing w:after="120" w:before="240" w:line="312"/>
      </w:pPr>
      <w:bookmarkStart w:id="100011" w:name="_Toc100011"/>
      <w:r>
        <w:rPr>
          <w:rFonts w:ascii="Calibri" w:eastAsia="Calibri"/>
          <w:b/>
          <w:bCs/>
          <w:color w:val="241E1A"/>
          <w:sz w:val="28"/>
          <w:szCs w:val="28"/>
        </w:rPr>
        <w:t xml:space="preserve">5.3 Reglas de negocio implementadas (paridad con el web)</w:t>
      </w:r>
      <w:bookmarkEnd w:id="100011"/>
    </w:p>
    <w:p>
      <w:pPr>
        <w:spacing w:after="120" w:line="312"/>
        <w:jc w:val="both"/>
      </w:pPr>
      <w:r>
        <w:rPr>
          <w:rFonts w:ascii="Calibri" w:eastAsia="Calibri"/>
          <w:b/>
          <w:bCs/>
          <w:i w:val="false"/>
          <w:iCs w:val="false"/>
          <w:color w:val="36302C"/>
          <w:sz w:val="22"/>
          <w:szCs w:val="22"/>
        </w:rPr>
        <w:t xml:space="preserve">IGV incluido (norma INDECOPI): </w:t>
      </w:r>
      <w:r>
        <w:rPr>
          <w:rFonts w:ascii="Calibri" w:eastAsia="Calibri"/>
          <w:b w:val="false"/>
          <w:bCs w:val="false"/>
          <w:i w:val="false"/>
          <w:iCs w:val="false"/>
          <w:color w:val="36302C"/>
          <w:sz w:val="22"/>
          <w:szCs w:val="22"/>
        </w:rPr>
        <w:t xml:space="preserve">los precios al público ya incluyen el IGV del 18%. El servidor recalcula autoritativamente: subtotal bruto = Σ(precio×cantidad); descuento = Σ(descuentos de línea) + descuento de cabecera; total = subtotal bruto − descuento (mínimo 0); base imponible = total / 1.18; IGV = total − base. Los importes almacenados en sale replican exactamente los del sistema web.</w:t>
      </w:r>
    </w:p>
    <w:p>
      <w:pPr>
        <w:spacing w:after="120" w:line="312"/>
        <w:jc w:val="both"/>
      </w:pPr>
      <w:r>
        <w:rPr>
          <w:rFonts w:ascii="Calibri" w:eastAsia="Calibri"/>
          <w:b/>
          <w:bCs/>
          <w:i w:val="false"/>
          <w:iCs w:val="false"/>
          <w:color w:val="36302C"/>
          <w:sz w:val="22"/>
          <w:szCs w:val="22"/>
        </w:rPr>
        <w:t xml:space="preserve">Venta transaccional: </w:t>
      </w:r>
      <w:r>
        <w:rPr>
          <w:rFonts w:ascii="Calibri" w:eastAsia="Calibri"/>
          <w:b w:val="false"/>
          <w:bCs w:val="false"/>
          <w:i w:val="false"/>
          <w:iCs w:val="false"/>
          <w:color w:val="36302C"/>
          <w:sz w:val="22"/>
          <w:szCs w:val="22"/>
        </w:rPr>
        <w:t xml:space="preserve">en UNA transacción: valida caja abierta (si no, 409 «La caja registradora debe estar abierta antes de vender»), resuelve cliente (por defecto Cliente General id=1) y almacén (principal si no se indica), por cada ítem valida stock (FOR UPDATE + «Stock insuficiente» 400), inserta SALE_DETAIL, descuenta CURRENT_STOCK y WAREHOUSE_STOCK, registra STOCK_MOVEMENT EXIT (referencia SALE), inserta los SALE_PAYMENT (Σ ≥ total), y si hay comprobante crea la fila INVOICE (serie B001/F001/T001, correlativo MAX+1, estado PENDING).</w:t>
      </w:r>
    </w:p>
    <w:p>
      <w:pPr>
        <w:spacing w:after="120" w:line="312"/>
        <w:jc w:val="both"/>
      </w:pPr>
      <w:r>
        <w:rPr>
          <w:rFonts w:ascii="Calibri" w:eastAsia="Calibri"/>
          <w:b/>
          <w:bCs/>
          <w:i w:val="false"/>
          <w:iCs w:val="false"/>
          <w:color w:val="36302C"/>
          <w:sz w:val="22"/>
          <w:szCs w:val="22"/>
        </w:rPr>
        <w:t xml:space="preserve">Idempotencia offline: </w:t>
      </w:r>
      <w:r>
        <w:rPr>
          <w:rFonts w:ascii="Calibri" w:eastAsia="Calibri"/>
          <w:b w:val="false"/>
          <w:bCs w:val="false"/>
          <w:i w:val="false"/>
          <w:iCs w:val="false"/>
          <w:color w:val="36302C"/>
          <w:sz w:val="22"/>
          <w:szCs w:val="22"/>
        </w:rPr>
        <w:t xml:space="preserve">si la app envía client_request_id (cola offline), el servidor devuelve la venta ya existente en lugar de duplicarla (columna única de la migración 30).</w:t>
      </w:r>
    </w:p>
    <w:p>
      <w:pPr>
        <w:spacing w:after="120" w:line="312"/>
        <w:jc w:val="both"/>
      </w:pPr>
      <w:r>
        <w:rPr>
          <w:rFonts w:ascii="Calibri" w:eastAsia="Calibri"/>
          <w:b/>
          <w:bCs/>
          <w:i w:val="false"/>
          <w:iCs w:val="false"/>
          <w:color w:val="36302C"/>
          <w:sz w:val="22"/>
          <w:szCs w:val="22"/>
        </w:rPr>
        <w:t xml:space="preserve">Anulación: </w:t>
      </w:r>
      <w:r>
        <w:rPr>
          <w:rFonts w:ascii="Calibri" w:eastAsia="Calibri"/>
          <w:b w:val="false"/>
          <w:bCs w:val="false"/>
          <w:i w:val="false"/>
          <w:iCs w:val="false"/>
          <w:color w:val="36302C"/>
          <w:sz w:val="22"/>
          <w:szCs w:val="22"/>
        </w:rPr>
        <w:t xml:space="preserve">status=false y devolución de stock por ejemplar con movimientos ENTRY (referencia DEVOLUTION), igual que el flujo de devoluciones del web.</w:t>
      </w:r>
    </w:p>
    <w:p>
      <w:pPr>
        <w:spacing w:after="120" w:line="312"/>
        <w:jc w:val="both"/>
      </w:pPr>
      <w:r>
        <w:rPr>
          <w:rFonts w:ascii="Calibri" w:eastAsia="Calibri"/>
          <w:b/>
          <w:bCs/>
          <w:i w:val="false"/>
          <w:iCs w:val="false"/>
          <w:color w:val="36302C"/>
          <w:sz w:val="22"/>
          <w:szCs w:val="22"/>
        </w:rPr>
        <w:t xml:space="preserve">Caja: </w:t>
      </w:r>
      <w:r>
        <w:rPr>
          <w:rFonts w:ascii="Calibri" w:eastAsia="Calibri"/>
          <w:b w:val="false"/>
          <w:bCs w:val="false"/>
          <w:i w:val="false"/>
          <w:iCs w:val="false"/>
          <w:color w:val="36302C"/>
          <w:sz w:val="22"/>
          <w:szCs w:val="22"/>
        </w:rPr>
        <w:t xml:space="preserve">una sola caja abierta por usuario (409 en doble apertura); el cierre calcula esperado = inicial + Σ pagos del período + movimientos, y diferencia = real − esperado.</w:t>
      </w:r>
    </w:p>
    <w:p>
      <w:pPr>
        <w:spacing w:after="120" w:line="312"/>
        <w:jc w:val="both"/>
      </w:pPr>
      <w:r>
        <w:rPr>
          <w:rFonts w:ascii="Calibri" w:eastAsia="Calibri"/>
          <w:b/>
          <w:bCs/>
          <w:i w:val="false"/>
          <w:iCs w:val="false"/>
          <w:color w:val="36302C"/>
          <w:sz w:val="22"/>
          <w:szCs w:val="22"/>
        </w:rPr>
        <w:t xml:space="preserve">WhatsApp: </w:t>
      </w:r>
      <w:r>
        <w:rPr>
          <w:rFonts w:ascii="Calibri" w:eastAsia="Calibri"/>
          <w:b w:val="false"/>
          <w:bCs w:val="false"/>
          <w:i w:val="false"/>
          <w:iCs w:val="false"/>
          <w:color w:val="36302C"/>
          <w:sz w:val="22"/>
          <w:szCs w:val="22"/>
        </w:rPr>
        <w:t xml:space="preserve">lee las credenciales de whatsapp_config (migración 21) y llama a Evolution API (sendText/sendMedia) normalizando el teléfono (9 dígitos peruanos → prefijo 51).</w:t>
      </w:r>
    </w:p>
    <w:p>
      <w:pPr>
        <w:spacing w:after="120" w:line="312"/>
        <w:jc w:val="both"/>
      </w:pPr>
      <w:r>
        <w:rPr>
          <w:rFonts w:ascii="Calibri" w:eastAsia="Calibri"/>
          <w:b/>
          <w:bCs/>
          <w:i w:val="false"/>
          <w:iCs w:val="false"/>
          <w:color w:val="36302C"/>
          <w:sz w:val="22"/>
          <w:szCs w:val="22"/>
        </w:rPr>
        <w:t xml:space="preserve">SUNAT: </w:t>
      </w:r>
      <w:r>
        <w:rPr>
          <w:rFonts w:ascii="Calibri" w:eastAsia="Calibri"/>
          <w:b w:val="false"/>
          <w:bCs w:val="false"/>
          <w:i w:val="false"/>
          <w:iCs w:val="false"/>
          <w:color w:val="36302C"/>
          <w:sz w:val="22"/>
          <w:szCs w:val="22"/>
        </w:rPr>
        <w:t xml:space="preserve">si se define INSIGHT_WEB_API_URL, el endpoint send-sunat delega en el servicio Flask existente (evita duplicar la firma XAdES); en caso contrario marca el comprobante con un mensaje claro para emitir desde el web.</w:t>
      </w:r>
    </w:p>
    <w:p>
      <w:pPr>
        <w:pStyle w:val="Heading1"/>
        <w:spacing w:after="160" w:before="360" w:line="312"/>
      </w:pPr>
      <w:bookmarkStart w:id="100012" w:name="_Toc100012"/>
      <w:r>
        <w:rPr>
          <w:rFonts w:ascii="Calibri" w:eastAsia="Calibri"/>
          <w:b/>
          <w:bCs/>
          <w:color w:val="241E1A"/>
          <w:sz w:val="32"/>
          <w:szCs w:val="32"/>
        </w:rPr>
        <w:t xml:space="preserve">6. La Aplicación Móvil</w:t>
      </w:r>
      <w:bookmarkEnd w:id="100012"/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La app implementa los apparts requeridos del sistema web con una distribución móvil-first, tipografía legible en pantallas pequeñas y tema INSIGHT (ámbar #D97706 sobre neutros zinc). Todas las listas usan el patrón ListCard con paginación de 10 filas.</w:t>
      </w:r>
    </w:p>
    <w:p>
      <w:pPr>
        <w:spacing w:after="40" w:before="160"/>
        <w:jc w:val="center"/>
      </w:pPr>
      <w:r>
        <w:drawing>
          <wp:inline distT="0" distB="0" distL="0" distR="0">
            <wp:extent cx="5715000" cy="2771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60" w:line="280"/>
        <w:jc w:val="center"/>
      </w:pPr>
      <w:r>
        <w:rPr>
          <w:rFonts w:ascii="Calibri" w:eastAsia="Calibri"/>
          <w:i/>
          <w:iCs/>
          <w:color w:val="68605A"/>
          <w:sz w:val="18"/>
          <w:szCs w:val="18"/>
        </w:rPr>
        <w:t xml:space="preserve">Figura 3. Mapa de pantallas de la app (Expo Router).</w:t>
      </w:r>
    </w:p>
    <w:p>
      <w:pPr>
        <w:pStyle w:val="Heading2"/>
        <w:spacing w:after="120" w:before="240" w:line="312"/>
      </w:pPr>
      <w:bookmarkStart w:id="100013" w:name="_Toc100013"/>
      <w:r>
        <w:rPr>
          <w:rFonts w:ascii="Calibri" w:eastAsia="Calibri"/>
          <w:b/>
          <w:bCs/>
          <w:color w:val="241E1A"/>
          <w:sz w:val="28"/>
          <w:szCs w:val="28"/>
        </w:rPr>
        <w:t xml:space="preserve">6.1 Módulos y pantallas</w:t>
      </w:r>
      <w:bookmarkEnd w:id="100013"/>
    </w:p>
    <w:p>
      <w:pPr>
        <w:keepNext/>
        <w:spacing w:after="80" w:before="200" w:line="312"/>
      </w:pPr>
      <w:r>
        <w:rPr>
          <w:rFonts w:ascii="Calibri" w:eastAsia="Calibri"/>
          <w:b/>
          <w:bCs/>
          <w:color w:val="241E1A"/>
          <w:sz w:val="20"/>
          <w:szCs w:val="20"/>
        </w:rPr>
        <w:t xml:space="preserve">Tabla 5. Correspondencia web → móvil por appart</w:t>
      </w:r>
    </w:p>
    <w:tbl>
      <w:tblPr>
        <w:tblW w:type="pct" w:w="100%"/>
        <w:tblBorders>
          <w:top w:val="single" w:color="B45309" w:sz="4"/>
          <w:left w:val="none"/>
          <w:bottom w:val="single" w:color="B45309" w:sz="4"/>
          <w:right w:val="none"/>
          <w:insideH w:val="single" w:color="D9D2C7" w:sz="1"/>
          <w:insideV w:val="single" w:color="E5DFD4" w:sz="1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22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Appart web</w:t>
            </w:r>
          </w:p>
        </w:tc>
        <w:tc>
          <w:tcPr>
            <w:tcW w:type="pct" w:w="24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Pantalla móvil</w:t>
            </w:r>
          </w:p>
        </w:tc>
        <w:tc>
          <w:tcPr>
            <w:tcW w:type="pct" w:w="54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Funcionalidad y operaciones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Home → Principal</w:t>
            </w:r>
          </w:p>
        </w:tc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(tabs)/index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Saludo con fecha, rejilla de accesos rápidos y tarjetas con la descripción de cada módulo (equivalente a las nav-tiles del web)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Inventario → Productos</w:t>
            </w:r>
          </w:p>
        </w:tc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inventario/productos + productos/[id]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Lista paginada con búsqueda; tarjeta expandible con categoría, marca, stock y ejemplares; detalle con ejemplares (talla/color/género, precios, stock, SKU, código de barras)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Inventario → Categorías y Marcas</w:t>
            </w:r>
          </w:p>
        </w:tc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inventario/categorias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Tabs segmentadas: Categorías, Subcategorías, Marcas, Tallas, Colores y Géneros, con CRUD (crear/editar/eliminar lógico)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Inventario → Almacenes</w:t>
            </w:r>
          </w:p>
        </w:tc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inventario/almacenes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Tres pestañas: Almacenes (tarjetas), Stock por almacén (paginado) e Historial de Movimientos con fecha y hora; registro de movimientos ENTRADA/SALIDA/AJUSTE/TRANSFERENCIA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Inventario → Kardex</w:t>
            </w:r>
          </w:p>
        </w:tc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inventario/kardex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Selector de ejemplar + rango de fechas; resumen (stock actual) y filas Entrada/Salida/Saldo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Ventas → Nueva Venta</w:t>
            </w:r>
          </w:p>
        </w:tc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ventas/nueva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POS: banner de caja, buscador «Descripción | Cod. Barras» con escáner de cámara, carrito con cantidades y descuentos por línea, cliente (buscador o Cliente Varios), comprobante BOLETA/FACTURA/TICKET, canal, resumen con IGV incluido, pagos múltiples con vuelto, COBRAR (modal de éxito con WhatsApp/PDF/Nueva Venta), cola offline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Ventas → Flujo de Caja</w:t>
            </w:r>
          </w:p>
        </w:tc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ventas/caja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Estado de la caja, apertura con monto inicial, cierre con esperado/real/diferencia, movimientos y registro de ingresos/egresos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Ventas → Historial</w:t>
            </w:r>
          </w:p>
        </w:tc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ventas/historial + historial/[id]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Lista paginada con filtros (fecha, estado); detalle completo con items por ejemplar, pagos, comprobante; acciones Anular (con confirmación), WhatsApp, PDF A4, impresión térmica 80 mm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Ventas → Facturación (SUNAT)</w:t>
            </w:r>
          </w:p>
        </w:tc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ventas/facturacion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Lista paginada de comprobantes con badge de estado SUNAT (PENDING/SENT/ACCEPTED/REJECTED/OBSERVED/VOID), acciones Enviar SUNAT, WhatsApp y Ver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Ventas → Clientes</w:t>
            </w:r>
          </w:p>
        </w:tc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ventas/clientes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CRUD completo con búsqueda, tipo de documento (DNI/RUC), datos de contacto y tipo de cliente</w:t>
            </w:r>
          </w:p>
        </w:tc>
      </w:tr>
      <w:tr>
        <w:trPr>
          <w:cantSplit/>
        </w:trPr>
        <w:tc>
          <w:tcPr>
            <w:tcW w:type="pct" w:w="2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Reportes → Dashboard KPI</w:t>
            </w:r>
          </w:p>
        </w:tc>
        <w:tc>
          <w:tcPr>
            <w:tcW w:type="pct" w:w="2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reportes/dashboard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8 tiles KPI (Ventas Hoy, Ingresos del Mes, Gastos, Utilidad, Stock, Alertas, Entradas, Salidas) + selectores Mes/Año + vistas Mensual, Semanal (+ top productos), Semestral, Diaria 14 días + gráficos de pastel (gastos por categoría, método de pago) y barras por canal + últimas 10 ventas, con punto «En vivo»</w:t>
            </w:r>
          </w:p>
        </w:tc>
      </w:tr>
    </w:tbl>
    <w:p>
      <w:pPr>
        <w:pStyle w:val="Heading2"/>
        <w:spacing w:after="120" w:before="240" w:line="312"/>
      </w:pPr>
      <w:bookmarkStart w:id="100014" w:name="_Toc100014"/>
      <w:r>
        <w:rPr>
          <w:rFonts w:ascii="Calibri" w:eastAsia="Calibri"/>
          <w:b/>
          <w:bCs/>
          <w:color w:val="241E1A"/>
          <w:sz w:val="28"/>
          <w:szCs w:val="28"/>
        </w:rPr>
        <w:t xml:space="preserve">6.2 Patrones de UX móvil</w:t>
      </w:r>
      <w:bookmarkEnd w:id="100014"/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ListCard expandible: cabecera compacta con 2–3 campos clave + badge de estado; al pulsar se despliega con animación (altura + rotación del chevrón) el detalle completo y la fila de acciones (Ver/Editar/Eliminar/Imprimir/WhatsApp/Enviar SUNAT según módulo). Es el efecto «drop-down» requerido para todas las listas.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Paginación estándar: pie «◀ Página i de N ▶» con total de registros; tamaño fijo 10 por página (máximo 100).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Pull-to-refresh, esqueletos de carga (SkeletonList), estados vacíos y de error con reintento en todas las pantallas.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Dinero formateado «S/ 1,234.50» (es-PE) y fechas «dd/mm/aaaa hh:mm».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Escáner: overlay de cámara a pantalla completa con antorcha, bloqueo de lectura duplicada y fallback de entrada manual del código.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Modo offline: si la red falla al cobrar, la venta se encola en AsyncStorage con su client_request_id; al recuperar conectividad se reintenta (idempotente) y se notifica al usuario.</w:t>
      </w:r>
    </w:p>
    <w:p>
      <w:pPr>
        <w:pStyle w:val="Heading1"/>
        <w:spacing w:after="160" w:before="360" w:line="312"/>
      </w:pPr>
      <w:bookmarkStart w:id="100015" w:name="_Toc100015"/>
      <w:r>
        <w:rPr>
          <w:rFonts w:ascii="Calibri" w:eastAsia="Calibri"/>
          <w:b/>
          <w:bCs/>
          <w:color w:val="241E1A"/>
          <w:sz w:val="32"/>
          <w:szCs w:val="32"/>
        </w:rPr>
        <w:t xml:space="preserve">7. Contrato OpenAPI y Tipado</w:t>
      </w:r>
      <w:bookmarkEnd w:id="100015"/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El archivo mobile_kora/openapi.yaml define los 37 endpoints, esquemas y códigos de respuesta del API móvil. Es la fuente única de verdad: los structs Go (internal/domain) y los tipos TypeScript (src/api/schema.d.ts) replican exactamente sus nombres de campo en snake_case. En un pipeline de CI puede regenerarse el cliente TS con openapi-typescript y los stubs Go con oapi-codegen para eliminar el desfase de contratos (plan §4.3).</w:t>
      </w:r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Todas las respuestas usan el envelope {success, data}; las listas añaden page, size, total y pages; los errores responden {success:false, message} con el código HTTP correspondiente (400 validación, 401 credenciales, 404 no encontrado, 409 conflicto de estado, 502 fallo de servicio externo).</w:t>
      </w:r>
    </w:p>
    <w:p>
      <w:pPr>
        <w:pStyle w:val="Heading1"/>
        <w:spacing w:after="160" w:before="360" w:line="312"/>
      </w:pPr>
      <w:bookmarkStart w:id="100016" w:name="_Toc100016"/>
      <w:r>
        <w:rPr>
          <w:rFonts w:ascii="Calibri" w:eastAsia="Calibri"/>
          <w:b/>
          <w:bCs/>
          <w:color w:val="241E1A"/>
          <w:sz w:val="32"/>
          <w:szCs w:val="32"/>
        </w:rPr>
        <w:t xml:space="preserve">8. Infraestructura y Despliegue en Producción</w:t>
      </w:r>
      <w:bookmarkEnd w:id="100016"/>
    </w:p>
    <w:p>
      <w:pPr>
        <w:pStyle w:val="Heading2"/>
        <w:spacing w:after="120" w:before="240" w:line="312"/>
      </w:pPr>
      <w:bookmarkStart w:id="100017" w:name="_Toc100017"/>
      <w:r>
        <w:rPr>
          <w:rFonts w:ascii="Calibri" w:eastAsia="Calibri"/>
          <w:b/>
          <w:bCs/>
          <w:color w:val="241E1A"/>
          <w:sz w:val="28"/>
          <w:szCs w:val="28"/>
        </w:rPr>
        <w:t xml:space="preserve">8.1 Archivos entregados (mobile_kora/infra/)</w:t>
      </w:r>
      <w:bookmarkEnd w:id="100017"/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docker-compose.mobile.yml — overlay que añade el servicio kora_mobile_api (build ../server, puertos 127.0.0.1:8090:8080, redes web_network y kora_network, healthcheck wget /healthz). Se aplica con docker compose -f docker-compose.yml -f …/docker-compose.mobile.yml up -d --build kora_mobile_api desde infra_kora/deploy_kora.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nginx/kora-mobile.conf — bloques location /v1/ y /v1/stream (proxy_buffering off, proxy_cache off, proxy_read_timeout 3600s, X-Accel-Buffering no) para insertar en el server de kora.insight-platforms.com.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scripts/deploy_mobile.sh — automatiza: migración 30 → build/up → recarga de nginx → pruebas de humo → verificación del LISTEN en logs.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envs/.env.mobile.example — variables nuevas (INSIGHT_MOBILE_JWT_SECRET, INSIGHT_WEB_API_URL, INSIGHT_WEB_API_TOKEN) para añadir a infra_kora/envs/.env.</w:t>
      </w:r>
    </w:p>
    <w:p>
      <w:pPr>
        <w:pStyle w:val="Heading2"/>
        <w:spacing w:after="120" w:before="240" w:line="312"/>
      </w:pPr>
      <w:bookmarkStart w:id="100018" w:name="_Toc100018"/>
      <w:r>
        <w:rPr>
          <w:rFonts w:ascii="Calibri" w:eastAsia="Calibri"/>
          <w:b/>
          <w:bCs/>
          <w:color w:val="241E1A"/>
          <w:sz w:val="28"/>
          <w:szCs w:val="28"/>
        </w:rPr>
        <w:t xml:space="preserve">8.2 Pasos de despliegue (resumen operativo)</w:t>
      </w:r>
      <w:bookmarkEnd w:id="100018"/>
    </w:p>
    <w:tbl>
      <w:tblPr>
        <w:tblW w:type="pct" w:w="100%"/>
        <w:tblBorders>
          <w:top w:val="single" w:color="B45309" w:sz="2"/>
          <w:left w:val="single" w:color="B45309" w:sz="2"/>
          <w:bottom w:val="single" w:color="B45309" w:sz="2"/>
          <w:right w:val="single" w:color="B45309" w:sz="2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7F3EC" w:val="clear"/>
            <w:tcMar>
              <w:top w:type="dxa" w:w="100"/>
              <w:left w:type="dxa" w:w="180"/>
              <w:bottom w:type="dxa" w:w="100"/>
              <w:right w:type="dxa" w:w="180"/>
            </w:tcMar>
          </w:tcPr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# 1) Subir el proyecto al VPS y añadir variables al .env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cat mobile_kora/infra/envs/.env.mobile.example &gt;&gt; ~/kora/infra_kora/envs/.env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nano ~/kora/infra_kora/envs/.env        # INSIGHT_MOBILE_JWT_SECRET=$(openssl rand -hex 32)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/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# 2) Migración de idempotencia (una sola vez)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docker exec -i kora_postgres psql -U postgres -d db_kora_v4 \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  &lt; mobile_kora/server/migrations/30_mobile_client_request_id.sql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/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# 3) Levantar el servicio (overlay sobre el compose existente)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cd ~/kora/infra_kora/deploy_kora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docker compose -f docker-compose.yml \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  -f /opt/kora/mobile_kora/infra/docker-compose.mobile.yml up -d --build kora_mobile_api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/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# 4) nginx: insertar location /v1/ (nginx/kora-mobile.conf) y recargar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docker exec nginx_proxy nginx -s reload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/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# 5) Pruebas de humo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curl https://kora.insight-platforms.com/v1/healthz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docker logs kora_mobile_api 2&gt;&amp;1 | grep -i LISTEN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#    → LISTEN established on kora_dashboard_events</w:t>
            </w:r>
          </w:p>
        </w:tc>
      </w:tr>
    </w:tbl>
    <w:p>
      <w:pPr>
        <w:pStyle w:val="Heading2"/>
        <w:spacing w:after="120" w:before="240" w:line="312"/>
      </w:pPr>
      <w:bookmarkStart w:id="100019" w:name="_Toc100019"/>
      <w:r>
        <w:rPr>
          <w:rFonts w:ascii="Calibri" w:eastAsia="Calibri"/>
          <w:b/>
          <w:bCs/>
          <w:color w:val="241E1A"/>
          <w:sz w:val="28"/>
          <w:szCs w:val="28"/>
        </w:rPr>
        <w:t xml:space="preserve">8.3 Variables de entorno del servicio</w:t>
      </w:r>
      <w:bookmarkEnd w:id="100019"/>
    </w:p>
    <w:p>
      <w:pPr>
        <w:keepNext/>
        <w:spacing w:after="80" w:before="200" w:line="312"/>
      </w:pPr>
      <w:r>
        <w:rPr>
          <w:rFonts w:ascii="Calibri" w:eastAsia="Calibri"/>
          <w:b/>
          <w:bCs/>
          <w:color w:val="241E1A"/>
          <w:sz w:val="20"/>
          <w:szCs w:val="20"/>
        </w:rPr>
        <w:t xml:space="preserve">Tabla 6. Configuración de kora_mobile_api</w:t>
      </w:r>
    </w:p>
    <w:tbl>
      <w:tblPr>
        <w:tblW w:type="pct" w:w="100%"/>
        <w:tblBorders>
          <w:top w:val="single" w:color="B45309" w:sz="4"/>
          <w:left w:val="none"/>
          <w:bottom w:val="single" w:color="B45309" w:sz="4"/>
          <w:right w:val="none"/>
          <w:insideH w:val="single" w:color="D9D2C7" w:sz="1"/>
          <w:insideV w:val="single" w:color="E5DFD4" w:sz="1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28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Variable</w:t>
            </w:r>
          </w:p>
        </w:tc>
        <w:tc>
          <w:tcPr>
            <w:tcW w:type="pct" w:w="32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Ejemplo / valor por defecto</w:t>
            </w:r>
          </w:p>
        </w:tc>
        <w:tc>
          <w:tcPr>
            <w:tcW w:type="pct" w:w="40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Descripción</w:t>
            </w:r>
          </w:p>
        </w:tc>
      </w:tr>
      <w:tr>
        <w:trPr>
          <w:cantSplit/>
        </w:trPr>
        <w:tc>
          <w:tcPr>
            <w:tcW w:type="pct" w:w="2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DATABASE_URL</w:t>
            </w:r>
          </w:p>
        </w:tc>
        <w:tc>
          <w:tcPr>
            <w:tcW w:type="pct" w:w="3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postgres://postgres:***@kora_postgres:5432/db_kora_v4</w:t>
            </w:r>
          </w:p>
        </w:tc>
        <w:tc>
          <w:tcPr>
            <w:tcW w:type="pct" w:w="4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Cadena de conexión a la BD de producción</w:t>
            </w:r>
          </w:p>
        </w:tc>
      </w:tr>
      <w:tr>
        <w:trPr>
          <w:cantSplit/>
        </w:trPr>
        <w:tc>
          <w:tcPr>
            <w:tcW w:type="pct" w:w="2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JWT_SECRET</w:t>
            </w:r>
          </w:p>
        </w:tc>
        <w:tc>
          <w:tcPr>
            <w:tcW w:type="pct" w:w="3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(openssl rand -hex 32)</w:t>
            </w:r>
          </w:p>
        </w:tc>
        <w:tc>
          <w:tcPr>
            <w:tcW w:type="pct" w:w="4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Secreto de firma HS256 de los tokens móviles</w:t>
            </w:r>
          </w:p>
        </w:tc>
      </w:tr>
      <w:tr>
        <w:trPr>
          <w:cantSplit/>
        </w:trPr>
        <w:tc>
          <w:tcPr>
            <w:tcW w:type="pct" w:w="2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JWT_TTL_H / REFRESH_TTL_H</w:t>
            </w:r>
          </w:p>
        </w:tc>
        <w:tc>
          <w:tcPr>
            <w:tcW w:type="pct" w:w="3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2 / 168</w:t>
            </w:r>
          </w:p>
        </w:tc>
        <w:tc>
          <w:tcPr>
            <w:tcW w:type="pct" w:w="4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Vigencia del access y refresh token (horas)</w:t>
            </w:r>
          </w:p>
        </w:tc>
      </w:tr>
      <w:tr>
        <w:trPr>
          <w:cantSplit/>
        </w:trPr>
        <w:tc>
          <w:tcPr>
            <w:tcW w:type="pct" w:w="2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LISTEN_CHANNEL</w:t>
            </w:r>
          </w:p>
        </w:tc>
        <w:tc>
          <w:tcPr>
            <w:tcW w:type="pct" w:w="3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kora_dashboard_events</w:t>
            </w:r>
          </w:p>
        </w:tc>
        <w:tc>
          <w:tcPr>
            <w:tcW w:type="pct" w:w="4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Canal pg_notify escuchado (idéntico al web)</w:t>
            </w:r>
          </w:p>
        </w:tc>
      </w:tr>
      <w:tr>
        <w:trPr>
          <w:cantSplit/>
        </w:trPr>
        <w:tc>
          <w:tcPr>
            <w:tcW w:type="pct" w:w="2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EVOLUTION_URL</w:t>
            </w:r>
          </w:p>
        </w:tc>
        <w:tc>
          <w:tcPr>
            <w:tcW w:type="pct" w:w="3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http://kora_evolution_api:8080</w:t>
            </w:r>
          </w:p>
        </w:tc>
        <w:tc>
          <w:tcPr>
            <w:tcW w:type="pct" w:w="4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Endpoint interno de Evolution API (WhatsApp)</w:t>
            </w:r>
          </w:p>
        </w:tc>
      </w:tr>
      <w:tr>
        <w:trPr>
          <w:cantSplit/>
        </w:trPr>
        <w:tc>
          <w:tcPr>
            <w:tcW w:type="pct" w:w="2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INSIGHT_WEB_API_URL / INSIGHT_WEB_API_TOKEN</w:t>
            </w:r>
          </w:p>
        </w:tc>
        <w:tc>
          <w:tcPr>
            <w:tcW w:type="pct" w:w="3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http://kora_app:5000 / (opcional)</w:t>
            </w:r>
          </w:p>
        </w:tc>
        <w:tc>
          <w:tcPr>
            <w:tcW w:type="pct" w:w="4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Delegación del envío SUNAT al servicio web existente</w:t>
            </w:r>
          </w:p>
        </w:tc>
      </w:tr>
      <w:tr>
        <w:trPr>
          <w:cantSplit/>
        </w:trPr>
        <w:tc>
          <w:tcPr>
            <w:tcW w:type="pct" w:w="28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PORT</w:t>
            </w:r>
          </w:p>
        </w:tc>
        <w:tc>
          <w:tcPr>
            <w:tcW w:type="pct" w:w="32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8080</w:t>
            </w:r>
          </w:p>
        </w:tc>
        <w:tc>
          <w:tcPr>
            <w:tcW w:type="pct" w:w="40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Puerto de escucha del contenedor</w:t>
            </w:r>
          </w:p>
        </w:tc>
      </w:tr>
    </w:tbl>
    <w:p>
      <w:pPr>
        <w:pStyle w:val="Heading2"/>
        <w:spacing w:after="120" w:before="240" w:line="312"/>
      </w:pPr>
      <w:bookmarkStart w:id="100020" w:name="_Toc100020"/>
      <w:r>
        <w:rPr>
          <w:rFonts w:ascii="Calibri" w:eastAsia="Calibri"/>
          <w:b/>
          <w:bCs/>
          <w:color w:val="241E1A"/>
          <w:sz w:val="28"/>
          <w:szCs w:val="28"/>
        </w:rPr>
        <w:t xml:space="preserve">8.4 Compilación del APK</w:t>
      </w:r>
      <w:bookmarkEnd w:id="100020"/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Dos caminos documentados en la landing: (A) EAS Build en la nube de Expo (eas build -p android --profile preview) que entrega un .apk descargable; y (B) compilación local con Gradle (npx expo prebuild -p android &amp;&amp; ./gradlew assembleRelease) cuyo artefacto queda en android/app/build/outputs/apk/release/app-release.apk. Antes de compilar el APK definitivo se fija EXPO_PUBLIC_API_BASE=https://kora.insight-platforms.com/v1 en el .env, y se añaden los iconos (assets/icon.png 1024×1024, splash).</w:t>
      </w:r>
    </w:p>
    <w:p>
      <w:pPr>
        <w:pStyle w:val="Heading1"/>
        <w:spacing w:after="160" w:before="360" w:line="312"/>
      </w:pPr>
      <w:bookmarkStart w:id="100021" w:name="_Toc100021"/>
      <w:r>
        <w:rPr>
          <w:rFonts w:ascii="Calibri" w:eastAsia="Calibri"/>
          <w:b/>
          <w:bCs/>
          <w:color w:val="241E1A"/>
          <w:sz w:val="32"/>
          <w:szCs w:val="32"/>
        </w:rPr>
        <w:t xml:space="preserve">9. Seguridad</w:t>
      </w:r>
      <w:bookmarkEnd w:id="100021"/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Autenticación JWT HS256: access token de 2 h y refresh token rotatorio de 7 d; el login valida credenciales + estado del usuario y rol (misma tabla credentials que el web) y devuelve los permisos del rol (page_path) para personalizar la navegación.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Transporte: todo el tráfico móvil pasa por HTTPS con el certificado Let's Encrypt existente; el APK no contiene credenciales de BD, Evolution ni SUNAT.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Autorización: middleware Go exige Bearer válido en todas las rutas (excepto /healthz); la expiración produce 401 y la app redirige al login.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Secretos: únicamente en infra_kora/envs/.env del servidor (nunca en el repositorio ni en el binario).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Payloads acotados: paginación máx. 100, frames SSE &lt; 2 KB, sentencias parametrizadas (sin concatenación SQL).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Idempotencia: client_request_id evita ventas duplicadas ante reintentos de la cola offline.</w:t>
      </w:r>
    </w:p>
    <w:p>
      <w:pPr>
        <w:pStyle w:val="Heading1"/>
        <w:spacing w:after="160" w:before="360" w:line="312"/>
      </w:pPr>
      <w:bookmarkStart w:id="100022" w:name="_Toc100022"/>
      <w:r>
        <w:rPr>
          <w:rFonts w:ascii="Calibri" w:eastAsia="Calibri"/>
          <w:b/>
          <w:bCs/>
          <w:color w:val="241E1A"/>
          <w:sz w:val="32"/>
          <w:szCs w:val="32"/>
        </w:rPr>
        <w:t xml:space="preserve">10. Guía de Uso de la App en Producción</w:t>
      </w:r>
      <w:bookmarkEnd w:id="100022"/>
    </w:p>
    <w:p>
      <w:pPr>
        <w:pStyle w:val="Heading2"/>
        <w:spacing w:after="120" w:before="240" w:line="312"/>
      </w:pPr>
      <w:bookmarkStart w:id="100023" w:name="_Toc100023"/>
      <w:r>
        <w:rPr>
          <w:rFonts w:ascii="Calibri" w:eastAsia="Calibri"/>
          <w:b/>
          <w:bCs/>
          <w:color w:val="241E1A"/>
          <w:sz w:val="28"/>
          <w:szCs w:val="28"/>
        </w:rPr>
        <w:t xml:space="preserve">10.1 Primer uso</w:t>
      </w:r>
      <w:bookmarkEnd w:id="100023"/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Instalar el APK (permitir orígenes desconocidos) y conceder permiso de cámara para el escáner.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Iniciar sesión con las mismas credenciales del sistema web; la sesión persiste entre aperturas (AsyncStorage).</w:t>
      </w:r>
    </w:p>
    <w:p>
      <w:pPr>
        <w:pStyle w:val="Heading2"/>
        <w:spacing w:after="120" w:before="240" w:line="312"/>
      </w:pPr>
      <w:bookmarkStart w:id="100024" w:name="_Toc100024"/>
      <w:r>
        <w:rPr>
          <w:rFonts w:ascii="Calibri" w:eastAsia="Calibri"/>
          <w:b/>
          <w:bCs/>
          <w:color w:val="241E1A"/>
          <w:sz w:val="28"/>
          <w:szCs w:val="28"/>
        </w:rPr>
        <w:t xml:space="preserve">10.2 Operación diaria recomendada</w:t>
      </w:r>
      <w:bookmarkEnd w:id="100024"/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Abrir caja (Ventas → Caja → Abrir) antes de vender: el POS lo exige y muestra un banner si está cerrada.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Vender: buscar por descripción o escanear el código de barras del ejemplar; ajustar cantidades/descuentos; elegir cliente (o Cliente Varios) y comprobante; registrar los pagos (puede ser más de un método) y cobrar.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Enviar el comprobante por WhatsApp desde el modal de éxito (usa el número del cliente o pide uno).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Cerrar caja al final del turno revisando esperado vs real; la diferencia queda registrada.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Monitorear el negocio desde Reportes → Dashboard KPI: el punto «En vivo» indica SSE activo; cambiar mes/año recalcula KPIs y gráficos.</w:t>
      </w:r>
    </w:p>
    <w:p>
      <w:pPr>
        <w:pStyle w:val="Heading1"/>
        <w:spacing w:after="160" w:before="360" w:line="312"/>
      </w:pPr>
      <w:bookmarkStart w:id="100025" w:name="_Toc100025"/>
      <w:r>
        <w:rPr>
          <w:rFonts w:ascii="Calibri" w:eastAsia="Calibri"/>
          <w:b/>
          <w:bCs/>
          <w:color w:val="241E1A"/>
          <w:sz w:val="32"/>
          <w:szCs w:val="32"/>
        </w:rPr>
        <w:t xml:space="preserve">11. Verificación y Pruebas Realizadas</w:t>
      </w:r>
      <w:bookmarkEnd w:id="100025"/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Durante el desarrollo se aplicó un ciclo de verificación por capas: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Backend Go: compilado con go build ./... y auditado con go vet y gofmt (sin hallazgos). Se ejecutó en vivo contra una instancia PostgreSQL 16 con el esquema real de INSIGHT (scripts 02/03 + migraciones 20–29 + 30) y datos sembrados, probando cada endpoint: login/refresh/me; listas paginadas con filtros; lookup por código de barras; creación de venta transaccional (IGV: total 132.70 → base 112.46 / IGV 20.24); validaciones de caja abierta (409) y stock insuficiente (400); pagos múltiples; correlativos de factura B001/F001/T001; anulación con devolución de stock; kardex con saldo; caja (apertura única, cierre con diferencia); WhatsApp y SUNAT en modo puente; PDF térmico y A4; y el stream SSE con frames {topic, seq} y ping.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Correcciones derivadas de las pruebas en vivo: conversión de tipos de pgx (int4→int32) en los contadores del dashboard, filtro de facturas por tipo de documento insensible a mayúsculas, KPIs mensuales respetando month/year, y serialización de ids vacíos como [] en lugar de null.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App móvil: verificación de tipos con tsc --noEmit en modo estricto (0 errores, sin any), validación de las APIs usadas (expo-camera CameraView, react-native-sse, react-native-svg) contra las definiciones instaladas, y revisión manual de imports/props en los 67 archivos.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Landing guía: compila y renderiza en el servidor de desarrollo; los enlaces de descarga apuntan a los artefactos empaquetados.</w:t>
      </w:r>
    </w:p>
    <w:p>
      <w:pPr>
        <w:pStyle w:val="Heading2"/>
        <w:spacing w:after="120" w:before="240" w:line="312"/>
      </w:pPr>
      <w:bookmarkStart w:id="100026" w:name="_Toc100026"/>
      <w:r>
        <w:rPr>
          <w:rFonts w:ascii="Calibri" w:eastAsia="Calibri"/>
          <w:b/>
          <w:bCs/>
          <w:color w:val="241E1A"/>
          <w:sz w:val="28"/>
          <w:szCs w:val="28"/>
        </w:rPr>
        <w:t xml:space="preserve">11.1 Prueba cruzada recomendada en producción</w:t>
      </w:r>
      <w:bookmarkEnd w:id="100026"/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Con la app y el dashboard web abiertos, registrar una venta de prueba desde el móvil y verificar que KPIs, gráficos y stock se actualizan en ambos extremos en menos de un segundo; luego anular la venta de prueba y confirmar la devolución de stock. Este flujo valida de extremo a extremo la sincronización (requisito 4 de requirements_mobile.md).</w:t>
      </w:r>
    </w:p>
    <w:p>
      <w:pPr>
        <w:pStyle w:val="Heading1"/>
        <w:spacing w:after="160" w:before="360" w:line="312"/>
      </w:pPr>
      <w:bookmarkStart w:id="100027" w:name="_Toc100027"/>
      <w:r>
        <w:rPr>
          <w:rFonts w:ascii="Calibri" w:eastAsia="Calibri"/>
          <w:b/>
          <w:bCs/>
          <w:color w:val="241E1A"/>
          <w:sz w:val="32"/>
          <w:szCs w:val="32"/>
        </w:rPr>
        <w:t xml:space="preserve">12. Problemas Conocidos y Recomendaciones</w:t>
      </w:r>
      <w:bookmarkEnd w:id="100027"/>
    </w:p>
    <w:p>
      <w:pPr>
        <w:keepNext/>
        <w:spacing w:after="80" w:before="200" w:line="312"/>
      </w:pPr>
      <w:r>
        <w:rPr>
          <w:rFonts w:ascii="Calibri" w:eastAsia="Calibri"/>
          <w:b/>
          <w:bCs/>
          <w:color w:val="241E1A"/>
          <w:sz w:val="20"/>
          <w:szCs w:val="20"/>
        </w:rPr>
        <w:t xml:space="preserve">Tabla 7. Riesgos, estado y mitigación</w:t>
      </w:r>
    </w:p>
    <w:tbl>
      <w:tblPr>
        <w:tblW w:type="pct" w:w="100%"/>
        <w:tblBorders>
          <w:top w:val="single" w:color="B45309" w:sz="4"/>
          <w:left w:val="none"/>
          <w:bottom w:val="single" w:color="B45309" w:sz="4"/>
          <w:right w:val="none"/>
          <w:insideH w:val="single" w:color="D9D2C7" w:sz="1"/>
          <w:insideV w:val="single" w:color="E5DFD4" w:sz="1"/>
        </w:tblBorders>
      </w:tblPr>
      <w:tblGrid>
        <w:gridCol w:w="100"/>
        <w:gridCol w:w="100"/>
      </w:tblGrid>
      <w:tr>
        <w:trPr>
          <w:cantSplit/>
          <w:tblHeader/>
        </w:trPr>
        <w:tc>
          <w:tcPr>
            <w:tcW w:type="pct" w:w="46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Riesgo / limitación</w:t>
            </w:r>
          </w:p>
        </w:tc>
        <w:tc>
          <w:tcPr>
            <w:tcW w:type="pct" w:w="54%"/>
            <w:shd w:fill="F3E8D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/>
                <w:bCs/>
                <w:color w:val="241E1A"/>
                <w:sz w:val="19"/>
                <w:szCs w:val="19"/>
              </w:rPr>
              <w:t xml:space="preserve">Mitigación / recomendación</w:t>
            </w:r>
          </w:p>
        </w:tc>
      </w:tr>
      <w:tr>
        <w:trPr>
          <w:cantSplit/>
        </w:trPr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El envío SUNAT delegado requiere INSIGHT_WEB_API_URL para reutilizar la firma XAdES del web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Configurar la variable en el .env del VPS; sin ella, el endpoint marca el comprobante y la emisión se completa desde el web</w:t>
            </w:r>
          </w:p>
        </w:tc>
      </w:tr>
      <w:tr>
        <w:trPr>
          <w:cantSplit/>
        </w:trPr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SSE en redes móviles intermitentes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Reconexión con backoff, resync por hueco de seq y polling de respaldo de 10 s ya implementados</w:t>
            </w:r>
          </w:p>
        </w:tc>
      </w:tr>
      <w:tr>
        <w:trPr>
          <w:cantSplit/>
        </w:trPr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EXPO_PUBLIC_API_BASE se hornea en el APK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Compilar el APK definitivo ya apuntando a producción; para desarrollo usar Expo Go</w:t>
            </w:r>
          </w:p>
        </w:tc>
      </w:tr>
      <w:tr>
        <w:trPr>
          <w:cantSplit/>
        </w:trPr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Iconos de la app aún no incluidos (assets binarios)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Añadir icon.png (1024×1024) y splash.png antes de eas build (instrucciones en assets/README.md)</w:t>
            </w:r>
          </w:p>
        </w:tc>
      </w:tr>
      <w:tr>
        <w:trPr>
          <w:cantSplit/>
        </w:trPr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Contraseñas del sistema legacy en texto plano (tabla credentials)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Recomendación general: migrar a hash (bcrypt) en el web; el móvil hereda el mecanismo actual por paridad</w:t>
            </w:r>
          </w:p>
        </w:tc>
      </w:tr>
      <w:tr>
        <w:trPr>
          <w:cantSplit/>
        </w:trPr>
        <w:tc>
          <w:tcPr>
            <w:tcW w:type="pct" w:w="46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Divergencia futura de reglas Go/Flask</w:t>
            </w:r>
          </w:p>
        </w:tc>
        <w:tc>
          <w:tcPr>
            <w:tcW w:type="pct" w:w="54%"/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 w:line="280"/>
            </w:pPr>
            <w:r>
              <w:rPr>
                <w:rFonts w:ascii="Calibri" w:eastAsia="Calibri"/>
                <w:b w:val="false"/>
                <w:bCs w:val="false"/>
                <w:color w:val="36302C"/>
                <w:sz w:val="19"/>
                <w:szCs w:val="19"/>
              </w:rPr>
              <w:t xml:space="preserve">Mantener el contrato openapi.yaml como fuente única y repetir la prueba cruzada tras cada cambio de reglas</w:t>
            </w:r>
          </w:p>
        </w:tc>
      </w:tr>
    </w:tbl>
    <w:p>
      <w:pPr>
        <w:pStyle w:val="Heading1"/>
        <w:spacing w:after="160" w:before="360" w:line="312"/>
      </w:pPr>
      <w:bookmarkStart w:id="100028" w:name="_Toc100028"/>
      <w:r>
        <w:rPr>
          <w:rFonts w:ascii="Calibri" w:eastAsia="Calibri"/>
          <w:b/>
          <w:bCs/>
          <w:color w:val="241E1A"/>
          <w:sz w:val="32"/>
          <w:szCs w:val="32"/>
        </w:rPr>
        <w:t xml:space="preserve">Apéndice A. Árbol de Entregables</w:t>
      </w:r>
      <w:bookmarkEnd w:id="100028"/>
    </w:p>
    <w:tbl>
      <w:tblPr>
        <w:tblW w:type="pct" w:w="100%"/>
        <w:tblBorders>
          <w:top w:val="single" w:color="B45309" w:sz="2"/>
          <w:left w:val="single" w:color="B45309" w:sz="2"/>
          <w:bottom w:val="single" w:color="B45309" w:sz="2"/>
          <w:right w:val="single" w:color="B45309" w:sz="2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7F3EC" w:val="clear"/>
            <w:tcMar>
              <w:top w:type="dxa" w:w="100"/>
              <w:left w:type="dxa" w:w="180"/>
              <w:bottom w:type="dxa" w:w="100"/>
              <w:right w:type="dxa" w:w="180"/>
            </w:tcMar>
          </w:tcPr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DESCARGA (paquete completo)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├── mobile_kora.zip            # App + backend + infra + contrato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├── mobile_guide_kora.zip      # Landing guía (Next.js + shadcn)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└── INSIGHT_Movil_Documentacion.docx  # este documento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/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mobile_kora/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├── app/            # 17 pantallas (login, tabs, inventario, ventas, reportes)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├── src/            # api · components (ListCard, ScannerOverlay, charts) ·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                # features (hooks por dominio) · hooks (useSSE, offline) ·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                # lib · store (auth, cart)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├── server/         # kora_mobile_api (Go): cmd, internal (12 handlers +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│                   # 13 services + realtime), migrations, Dockerfile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├── infra/          # compose overlay · nginx · deploy script · env ejemplo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├── openapi.yaml    # contrato REST + SSE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└── configs         # app.config.ts, eas.json, tailwind, metro, babel, tsconfig</w:t>
            </w:r>
          </w:p>
        </w:tc>
      </w:tr>
    </w:tbl>
    <w:p>
      <w:pPr>
        <w:pStyle w:val="Heading1"/>
        <w:spacing w:after="160" w:before="360" w:line="312"/>
      </w:pPr>
      <w:bookmarkStart w:id="100029" w:name="_Toc100029"/>
      <w:r>
        <w:rPr>
          <w:rFonts w:ascii="Calibri" w:eastAsia="Calibri"/>
          <w:b/>
          <w:bCs/>
          <w:color w:val="241E1A"/>
          <w:sz w:val="32"/>
          <w:szCs w:val="32"/>
        </w:rPr>
        <w:t xml:space="preserve">Apéndice B. Comandos Rápidos</w:t>
      </w:r>
      <w:bookmarkEnd w:id="100029"/>
    </w:p>
    <w:tbl>
      <w:tblPr>
        <w:tblW w:type="pct" w:w="100%"/>
        <w:tblBorders>
          <w:top w:val="single" w:color="B45309" w:sz="2"/>
          <w:left w:val="single" w:color="B45309" w:sz="2"/>
          <w:bottom w:val="single" w:color="B45309" w:sz="2"/>
          <w:right w:val="single" w:color="B45309" w:sz="2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7F3EC" w:val="clear"/>
            <w:tcMar>
              <w:top w:type="dxa" w:w="100"/>
              <w:left w:type="dxa" w:w="180"/>
              <w:bottom w:type="dxa" w:w="100"/>
              <w:right w:type="dxa" w:w="180"/>
            </w:tcMar>
          </w:tcPr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── Desarrollo de la app ─────────────────────────────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cd mobile_kora &amp;&amp; npm install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EXPO_PUBLIC_API_BASE=http://&lt;IP-LAN&gt;:8090/v1 npx expo start   # QR con Expo Go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/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── Backend local ────────────────────────────────────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cd mobile_kora/server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DATABASE_URL=postgres://postgres:***@localhost:5434/db_kora_v4 \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JWT_SECRET=*** go run ./cmd/api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curl http://localhost:8090/healthz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/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── APK ──────────────────────────────────────────────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npx expo prebuild -p android &amp;&amp; cd android &amp;&amp; ./gradlew assembleRelease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# o: eas build -p android --profile preview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/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── Producción (VPS) ─────────────────────────────────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bash mobile_kora/infra/scripts/deploy_mobile.sh</w:t>
            </w:r>
          </w:p>
          <w:p>
            <w:pPr>
              <w:spacing w:after="0" w:line="260"/>
            </w:pPr>
            <w:r>
              <w:rPr>
                <w:rFonts w:ascii="Consolas" w:eastAsia="Consolas"/>
                <w:color w:val="3A342E"/>
                <w:sz w:val="18"/>
                <w:szCs w:val="18"/>
              </w:rPr>
              <w:t xml:space="preserve">curl https://kora.insight-platforms.com/v1/healthz</w:t>
            </w:r>
          </w:p>
        </w:tc>
      </w:tr>
    </w:tbl>
    <w:p>
      <w:pPr>
        <w:pStyle w:val="Heading1"/>
        <w:spacing w:after="160" w:before="360" w:line="312"/>
      </w:pPr>
      <w:bookmarkStart w:id="100030" w:name="_Toc100030"/>
      <w:r>
        <w:rPr>
          <w:rFonts w:ascii="Calibri" w:eastAsia="Calibri"/>
          <w:b/>
          <w:bCs/>
          <w:color w:val="241E1A"/>
          <w:sz w:val="32"/>
          <w:szCs w:val="32"/>
        </w:rPr>
        <w:t xml:space="preserve">Apéndice C. Puntos de Integración con el Sistema Existente</w:t>
      </w:r>
      <w:bookmarkEnd w:id="100030"/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Credenciales y roles: tablas credentials, users, role, permissions, role_permission (mismos usuarios del web).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Catálogo e inventario: product, product_sample, category_product, subcategory_product, brand, product_size, product_color, product_gender, model_material, warehouse, warehouse_stock, stock_movement.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Ventas y caja: sale, sale_detail, sale_payment, payment_method, client, cash_register, cash_movement, invoice, document_type.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WhatsApp: tabla whatsapp_config (migración 21) — el Go lee url/apikey/instance igual que el Flask.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SUNAT: tabla sunat_config (migración 22) — el PDF usa el RUC del emisor; el envío se delega al servicio web.</w:t>
      </w:r>
    </w:p>
    <w:p>
      <w:pPr>
        <w:pStyle w:val="ListParagraph"/>
        <w:numPr>
          <w:ilvl w:val="0"/>
          <w:numId w:val="1"/>
        </w:numPr>
        <w:spacing w:after="8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Tiempo real: triggers de la migración 27 (canal kora_dashboard_events) y vistas v_dash_* (migraciones 28/29).</w:t>
      </w:r>
    </w:p>
    <w:p>
      <w:pPr>
        <w:spacing w:after="120" w:line="312"/>
        <w:jc w:val="both"/>
      </w:pPr>
      <w:r>
        <w:rPr>
          <w:rFonts w:ascii="Calibri" w:eastAsia="Calibri"/>
          <w:color w:val="36302C"/>
          <w:sz w:val="22"/>
          <w:szCs w:val="22"/>
        </w:rPr>
        <w:t xml:space="preserve"> </w:t>
      </w:r>
    </w:p>
    <w:p>
      <w:pPr>
        <w:pBdr>
          <w:top w:val="single" w:color="B45309" w:sz="2" w:space="8"/>
        </w:pBdr>
        <w:spacing w:before="400"/>
        <w:jc w:val="center"/>
      </w:pPr>
      <w:r>
        <w:rPr>
          <w:rFonts w:ascii="Calibri" w:eastAsia="Calibri"/>
          <w:i/>
          <w:iCs/>
          <w:color w:val="68605A"/>
          <w:sz w:val="16"/>
          <w:szCs w:val="16"/>
        </w:rPr>
        <w:t xml:space="preserve">SANDALIAS INSIGHT · Ecosistema móvil v1.0 · Documento generado junto al código fuente entregado</w:t>
      </w:r>
    </w:p>
    <w:sectPr>
      <w:headerReference w:type="default" r:id="rId9"/>
      <w:footerReference w:type="default" r:id="rId10"/>
      <w:type w:val="nextPage"/>
      <w:pgSz w:w="11906" w:h="16838" w:orient="portrait"/>
      <w:pgMar w:top="1417" w:right="1417" w:bottom="1417" w:left="1701" w:header="708" w:footer="708" w:gutter="0"/>
      <w:pgNumType w:start="1" w:fmt="decimal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eastAsia="Calibri"/>
        <w:color w:val="888888"/>
        <w:sz w:val="18"/>
        <w:szCs w:val="18"/>
      </w:rPr>
      <w:fldChar w:fldCharType="begin"/>
      <w:instrText xml:space="preserve"> PAGE \* ROMAN \* MERGEFORMAT 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eastAsia="Calibri"/>
        <w:color w:val="888888"/>
        <w:sz w:val="18"/>
        <w:szCs w:val="18"/>
      </w:rPr>
      <w:fldChar w:fldCharType="begin"/>
      <w:instrText xml:space="preserve"> PAGE \* arabic \* MERGEFORMAT 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2C7" w:sz="2" w:space="4"/>
      </w:pBdr>
      <w:jc w:val="right"/>
    </w:pPr>
    <w:r>
      <w:rPr>
        <w:rFonts w:ascii="Calibri" w:eastAsia="Calibri"/>
        <w:color w:val="888888"/>
        <w:sz w:val="16"/>
        <w:szCs w:val="16"/>
      </w:rPr>
      <w:t xml:space="preserve">INSIGHT MOBILE — Documentación Técnica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2C7" w:sz="2" w:space="4"/>
      </w:pBdr>
      <w:jc w:val="right"/>
    </w:pPr>
    <w:r>
      <w:rPr>
        <w:rFonts w:ascii="Calibri" w:eastAsia="Calibri"/>
        <w:color w:val="888888"/>
        <w:sz w:val="16"/>
        <w:szCs w:val="16"/>
      </w:rPr>
      <w:t xml:space="preserve">INSIGHT MOBILE — Documentación Técnica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/>
        <w:color w:val="36302C"/>
        <w:sz w:val="22"/>
        <w:szCs w:val="22"/>
      </w:rPr>
    </w:rPrDefault>
    <w:pPrDefault>
      <w:pPr>
        <w:spacing w:line="312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60" w:before="360" w:line="312"/>
      <w:outlineLvl w:val="0"/>
    </w:pPr>
    <w:rPr>
      <w:rFonts w:ascii="Calibri" w:eastAsia="Calibri"/>
      <w:b/>
      <w:bCs/>
      <w:color w:val="241E1A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 w:line="312"/>
      <w:outlineLvl w:val="1"/>
    </w:pPr>
    <w:rPr>
      <w:rFonts w:ascii="Calibri" w:eastAsia="Calibri"/>
      <w:b/>
      <w:bCs/>
      <w:color w:val="241E1A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00" w:before="200" w:line="312"/>
      <w:outlineLvl w:val="2"/>
    </w:pPr>
    <w:rPr>
      <w:rFonts w:ascii="Calibri" w:eastAsia="Calibri"/>
      <w:b/>
      <w:bCs/>
      <w:color w:val="241E1A"/>
      <w:sz w:val="24"/>
      <w:szCs w:val="24"/>
    </w:rPr>
  </w:style>
  <w:style w:type="paragraph" w:styleId="Heading4">
    <w:pPr>
      <w:outlineLvl w:val="3"/>
    </w:pPr>
    <w:name w:val="Heading 4"/>
    <w:basedOn w:val="Normal"/>
    <w:next w:val="Normal"/>
    <w:qFormat/>
    <w:rPr>
      <w:i/>
      <w:iCs/>
      <w:color w:val="2E74B5"/>
    </w:rPr>
  </w:style>
  <w:style w:type="paragraph" w:styleId="Heading5">
    <w:pPr>
      <w:outlineLvl w:val="4"/>
    </w:pPr>
    <w:name w:val="Heading 5"/>
    <w:basedOn w:val="Normal"/>
    <w:next w:val="Normal"/>
    <w:qFormat/>
    <w:rPr>
      <w:color w:val="2E74B5"/>
    </w:rPr>
  </w:style>
  <w:style w:type="paragraph" w:styleId="Heading6">
    <w:pPr>
      <w:outlineLvl w:val="5"/>
    </w:pPr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xmlns:w="http://schemas.openxmlformats.org/wordprocessingml/2006/main" w:type="paragraph" w:styleId="9">
    <w:name w:val="toc 1"/>
    <w:basedOn w:val="Normal"/>
    <w:uiPriority w:val="39"/>
    <w:pPr>
      <w:tabs>
        <w:tab w:val="right" w:leader="dot" w:pos="9026"/>
      </w:tabs>
      <w:spacing w:before="120" w:after="60"/>
    </w:pPr>
    <w:rPr>
      <w:b/>
      <w:bCs/>
    </w:rPr>
  </w:style>
  <w:style xmlns:w="http://schemas.openxmlformats.org/wordprocessingml/2006/main" w:type="paragraph" w:styleId="11">
    <w:name w:val="toc 2"/>
    <w:basedOn w:val="Normal"/>
    <w:uiPriority w:val="39"/>
    <w:pPr>
      <w:tabs>
        <w:tab w:val="right" w:leader="dot" w:pos="9026"/>
      </w:tabs>
      <w:ind w:left="360"/>
      <w:spacing w:before="60" w:after="40"/>
    </w:pPr>
  </w:style>
  <w:style xmlns:w="http://schemas.openxmlformats.org/wordprocessingml/2006/main" w:type="paragraph" w:styleId="12">
    <w:name w:val="toc 3"/>
    <w:basedOn w:val="Normal"/>
    <w:uiPriority w:val="39"/>
    <w:pPr>
      <w:tabs>
        <w:tab w:val="right" w:leader="dot" w:pos="9026"/>
      </w:tabs>
      <w:ind w:left="720"/>
      <w:spacing w:before="40" w:after="20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74d895722968c26c498e9ac86d319a46fb6bb247.png"/><Relationship Id="rId12" Type="http://schemas.openxmlformats.org/officeDocument/2006/relationships/image" Target="media/b0d6620ab1ca9cedea797ae9490a069f9d5db073.png"/><Relationship Id="rId13" Type="http://schemas.openxmlformats.org/officeDocument/2006/relationships/image" Target="media/04e966ad4d3fd3e2785c8fe9c6e4c0855eb41d61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Aplicación Móvil Android de INSIGHT — Documentación Técnica</dc:title>
  <dc:creator>SANDALIAS INSIGHT</dc:creator>
  <dc:description>Documentación completa del ecosistema móvil de INSIGHT: app Android, backend Go, infraestructura y operación.</dc:description>
  <cp:lastModifiedBy>Un-named</cp:lastModifiedBy>
  <cp:revision>1</cp:revision>
  <dcterms:created xsi:type="dcterms:W3CDTF">2026-09-10T03:35:41.958Z</dcterms:created>
  <dcterms:modified xsi:type="dcterms:W3CDTF">2026-09-10T03:35:41.958Z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